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2C6" w:rsidRDefault="009252C6" w:rsidP="006B475E">
      <w:pPr>
        <w:jc w:val="center"/>
        <w:rPr>
          <w:b/>
          <w:sz w:val="22"/>
          <w:szCs w:val="22"/>
          <w:lang w:val="bg-BG"/>
        </w:rPr>
      </w:pPr>
    </w:p>
    <w:p w:rsidR="006B475E" w:rsidRPr="00DE080A" w:rsidRDefault="006B475E" w:rsidP="006B475E">
      <w:pPr>
        <w:jc w:val="center"/>
        <w:rPr>
          <w:b/>
          <w:sz w:val="22"/>
          <w:szCs w:val="22"/>
          <w:lang w:val="bg-BG"/>
        </w:rPr>
      </w:pPr>
      <w:r w:rsidRPr="00DE080A">
        <w:rPr>
          <w:b/>
          <w:sz w:val="22"/>
          <w:szCs w:val="22"/>
          <w:lang w:val="bg-BG"/>
        </w:rPr>
        <w:t>ТАБЛИЦА</w:t>
      </w:r>
    </w:p>
    <w:p w:rsidR="006B475E" w:rsidRPr="00DE080A" w:rsidRDefault="006B475E" w:rsidP="006B475E">
      <w:pPr>
        <w:jc w:val="both"/>
        <w:rPr>
          <w:b/>
          <w:sz w:val="22"/>
          <w:szCs w:val="22"/>
          <w:lang w:val="bg-BG"/>
        </w:rPr>
      </w:pPr>
    </w:p>
    <w:p w:rsidR="006B475E" w:rsidRDefault="006B475E" w:rsidP="006B475E">
      <w:pPr>
        <w:jc w:val="center"/>
        <w:rPr>
          <w:b/>
          <w:sz w:val="22"/>
          <w:szCs w:val="22"/>
          <w:lang w:val="bg-BG"/>
        </w:rPr>
      </w:pPr>
      <w:r w:rsidRPr="00DE080A">
        <w:rPr>
          <w:b/>
          <w:sz w:val="22"/>
          <w:szCs w:val="22"/>
          <w:lang w:val="bg-BG"/>
        </w:rPr>
        <w:t xml:space="preserve">с постъпилите в </w:t>
      </w:r>
      <w:r>
        <w:rPr>
          <w:b/>
          <w:bCs/>
          <w:sz w:val="22"/>
          <w:szCs w:val="22"/>
          <w:lang w:val="bg-BG"/>
        </w:rPr>
        <w:t xml:space="preserve">Комисията за регулиране на съобщенията </w:t>
      </w:r>
      <w:r w:rsidRPr="00DE080A">
        <w:rPr>
          <w:b/>
          <w:sz w:val="22"/>
          <w:szCs w:val="22"/>
          <w:lang w:val="bg-BG"/>
        </w:rPr>
        <w:t xml:space="preserve">становища в рамките на процедура по обществено обсъждане на проект за </w:t>
      </w:r>
      <w:r>
        <w:rPr>
          <w:b/>
          <w:sz w:val="22"/>
          <w:szCs w:val="22"/>
          <w:lang w:val="bg-BG"/>
        </w:rPr>
        <w:t xml:space="preserve">Правила за изчисляване на нетните разходи </w:t>
      </w:r>
      <w:r w:rsidR="001B6136">
        <w:rPr>
          <w:b/>
          <w:sz w:val="22"/>
          <w:szCs w:val="22"/>
          <w:lang w:val="bg-BG"/>
        </w:rPr>
        <w:t>за</w:t>
      </w:r>
      <w:r>
        <w:rPr>
          <w:b/>
          <w:sz w:val="22"/>
          <w:szCs w:val="22"/>
          <w:lang w:val="bg-BG"/>
        </w:rPr>
        <w:t xml:space="preserve"> предоставяне на универсалната услуга</w:t>
      </w:r>
    </w:p>
    <w:p w:rsidR="006B475E" w:rsidRPr="00DE080A" w:rsidRDefault="006B475E" w:rsidP="006B475E">
      <w:pPr>
        <w:jc w:val="center"/>
        <w:rPr>
          <w:b/>
          <w:sz w:val="22"/>
          <w:szCs w:val="22"/>
          <w:lang w:val="bg-BG"/>
        </w:rPr>
      </w:pPr>
    </w:p>
    <w:tbl>
      <w:tblPr>
        <w:tblStyle w:val="TableGrid"/>
        <w:tblW w:w="14040" w:type="dxa"/>
        <w:tblInd w:w="-455" w:type="dxa"/>
        <w:tblLook w:val="04A0" w:firstRow="1" w:lastRow="0" w:firstColumn="1" w:lastColumn="0" w:noHBand="0" w:noVBand="1"/>
      </w:tblPr>
      <w:tblGrid>
        <w:gridCol w:w="2552"/>
        <w:gridCol w:w="4267"/>
        <w:gridCol w:w="2459"/>
        <w:gridCol w:w="4762"/>
      </w:tblGrid>
      <w:tr w:rsidR="006B475E" w:rsidTr="008D2D76">
        <w:trPr>
          <w:trHeight w:val="881"/>
        </w:trPr>
        <w:tc>
          <w:tcPr>
            <w:tcW w:w="2552" w:type="dxa"/>
            <w:shd w:val="clear" w:color="auto" w:fill="AEAAAA"/>
            <w:vAlign w:val="center"/>
          </w:tcPr>
          <w:p w:rsidR="00270BFE" w:rsidRDefault="00270BFE" w:rsidP="006B475E">
            <w:pPr>
              <w:jc w:val="center"/>
              <w:rPr>
                <w:b/>
                <w:sz w:val="22"/>
                <w:szCs w:val="22"/>
                <w:lang w:val="bg-BG"/>
              </w:rPr>
            </w:pPr>
          </w:p>
          <w:p w:rsidR="006B475E" w:rsidRDefault="006B475E" w:rsidP="006B475E">
            <w:pPr>
              <w:jc w:val="center"/>
              <w:rPr>
                <w:b/>
                <w:sz w:val="22"/>
                <w:szCs w:val="22"/>
                <w:lang w:val="bg-BG"/>
              </w:rPr>
            </w:pPr>
            <w:r w:rsidRPr="00DE080A">
              <w:rPr>
                <w:b/>
                <w:sz w:val="22"/>
                <w:szCs w:val="22"/>
                <w:lang w:val="bg-BG"/>
              </w:rPr>
              <w:t>Изготвил становището</w:t>
            </w:r>
          </w:p>
          <w:p w:rsidR="00270BFE" w:rsidRPr="00DE080A" w:rsidRDefault="00270BFE" w:rsidP="006B475E">
            <w:pPr>
              <w:jc w:val="center"/>
              <w:rPr>
                <w:b/>
                <w:sz w:val="22"/>
                <w:szCs w:val="22"/>
                <w:lang w:val="bg-BG"/>
              </w:rPr>
            </w:pPr>
          </w:p>
        </w:tc>
        <w:tc>
          <w:tcPr>
            <w:tcW w:w="4267" w:type="dxa"/>
            <w:shd w:val="clear" w:color="auto" w:fill="AEAAAA"/>
            <w:vAlign w:val="center"/>
          </w:tcPr>
          <w:p w:rsidR="006B475E" w:rsidRPr="00DE080A" w:rsidRDefault="006B475E" w:rsidP="006B475E">
            <w:pPr>
              <w:jc w:val="center"/>
              <w:rPr>
                <w:b/>
                <w:caps/>
                <w:sz w:val="22"/>
                <w:szCs w:val="22"/>
                <w:lang w:val="bg-BG"/>
              </w:rPr>
            </w:pPr>
            <w:r w:rsidRPr="00DE080A">
              <w:rPr>
                <w:b/>
                <w:sz w:val="22"/>
                <w:szCs w:val="22"/>
                <w:lang w:val="bg-BG"/>
              </w:rPr>
              <w:t>Становище</w:t>
            </w:r>
          </w:p>
        </w:tc>
        <w:tc>
          <w:tcPr>
            <w:tcW w:w="2459" w:type="dxa"/>
            <w:shd w:val="clear" w:color="auto" w:fill="AEAAAA"/>
            <w:vAlign w:val="center"/>
          </w:tcPr>
          <w:p w:rsidR="006B475E" w:rsidRPr="00DE080A" w:rsidRDefault="006B475E" w:rsidP="006B475E">
            <w:pPr>
              <w:jc w:val="center"/>
              <w:rPr>
                <w:b/>
                <w:caps/>
                <w:sz w:val="22"/>
                <w:szCs w:val="22"/>
                <w:lang w:val="bg-BG"/>
              </w:rPr>
            </w:pPr>
            <w:r w:rsidRPr="00DE080A">
              <w:rPr>
                <w:b/>
                <w:sz w:val="22"/>
                <w:szCs w:val="22"/>
                <w:lang w:val="bg-BG"/>
              </w:rPr>
              <w:t>Статус</w:t>
            </w:r>
          </w:p>
        </w:tc>
        <w:tc>
          <w:tcPr>
            <w:tcW w:w="4762" w:type="dxa"/>
            <w:shd w:val="clear" w:color="auto" w:fill="AEAAAA"/>
            <w:vAlign w:val="center"/>
          </w:tcPr>
          <w:p w:rsidR="006B475E" w:rsidRPr="00DE080A" w:rsidRDefault="006B475E" w:rsidP="006B475E">
            <w:pPr>
              <w:jc w:val="center"/>
              <w:rPr>
                <w:b/>
                <w:iCs/>
                <w:caps/>
                <w:sz w:val="22"/>
                <w:szCs w:val="22"/>
                <w:lang w:val="bg-BG"/>
              </w:rPr>
            </w:pPr>
            <w:r w:rsidRPr="00DE080A">
              <w:rPr>
                <w:b/>
                <w:bCs/>
                <w:iCs/>
                <w:sz w:val="22"/>
                <w:szCs w:val="22"/>
                <w:lang w:val="bg-BG"/>
              </w:rPr>
              <w:t xml:space="preserve">Мотиви </w:t>
            </w:r>
          </w:p>
        </w:tc>
      </w:tr>
      <w:tr w:rsidR="006B475E" w:rsidTr="009E1136">
        <w:tc>
          <w:tcPr>
            <w:tcW w:w="14040" w:type="dxa"/>
            <w:gridSpan w:val="4"/>
          </w:tcPr>
          <w:p w:rsidR="00270BFE" w:rsidRDefault="00270BFE" w:rsidP="00C0644E">
            <w:pPr>
              <w:jc w:val="center"/>
              <w:rPr>
                <w:b/>
                <w:iCs/>
                <w:sz w:val="22"/>
                <w:szCs w:val="22"/>
                <w:lang w:val="bg-BG"/>
              </w:rPr>
            </w:pPr>
          </w:p>
          <w:p w:rsidR="006B475E" w:rsidRPr="00270BFE" w:rsidRDefault="00C0644E" w:rsidP="00270BFE">
            <w:pPr>
              <w:jc w:val="center"/>
              <w:rPr>
                <w:b/>
                <w:iCs/>
                <w:sz w:val="22"/>
                <w:szCs w:val="22"/>
                <w:lang w:val="bg-BG"/>
              </w:rPr>
            </w:pPr>
            <w:r w:rsidRPr="00DE080A">
              <w:rPr>
                <w:b/>
                <w:iCs/>
                <w:sz w:val="22"/>
                <w:szCs w:val="22"/>
                <w:lang w:val="bg-BG"/>
              </w:rPr>
              <w:t>ОБЩИ БЕЛЕЖКИ</w:t>
            </w:r>
          </w:p>
        </w:tc>
      </w:tr>
      <w:tr w:rsidR="006B475E" w:rsidTr="008D2D76">
        <w:tc>
          <w:tcPr>
            <w:tcW w:w="2552" w:type="dxa"/>
          </w:tcPr>
          <w:p w:rsidR="006B475E" w:rsidRPr="00277F80" w:rsidRDefault="00EF0A9A" w:rsidP="00C0644E">
            <w:pPr>
              <w:rPr>
                <w:b/>
                <w:lang w:val="bg-BG"/>
              </w:rPr>
            </w:pPr>
            <w:r w:rsidRPr="00F134FE">
              <w:rPr>
                <w:b/>
                <w:lang w:val="bg-BG"/>
              </w:rPr>
              <w:t>Комисията за защита на конкуренцията (КЗК)</w:t>
            </w:r>
          </w:p>
        </w:tc>
        <w:tc>
          <w:tcPr>
            <w:tcW w:w="4267" w:type="dxa"/>
          </w:tcPr>
          <w:p w:rsidR="00EF0A9A" w:rsidRDefault="00EF0A9A" w:rsidP="00EF0A9A">
            <w:pPr>
              <w:jc w:val="both"/>
            </w:pPr>
            <w:r>
              <w:rPr>
                <w:lang w:val="bg-BG"/>
              </w:rPr>
              <w:t xml:space="preserve">Според становището на КЗК е важно от гледна точка на конкуренцията да бъде спазен принципа на конкурентната неутралност и да не бъде налице </w:t>
            </w:r>
            <w:proofErr w:type="spellStart"/>
            <w:r>
              <w:rPr>
                <w:lang w:val="bg-BG"/>
              </w:rPr>
              <w:t>свръхкомпенсиране</w:t>
            </w:r>
            <w:proofErr w:type="spellEnd"/>
            <w:r>
              <w:rPr>
                <w:lang w:val="bg-BG"/>
              </w:rPr>
              <w:t>. Комисията съгласува проекта на Правилата за изчисляване на нетните разходи на КРС без бележки с мотива, че Проекта на правилата не дава индикации и не би създал условия за нарушаване на принципа на конкурентната неутралност. Също така, КЗК счита че когато се налага задължение на определено предприятие да извършва услуги от обществен интерес, следва да бъдат предвидени компенсации за това.</w:t>
            </w:r>
          </w:p>
          <w:p w:rsidR="006B475E" w:rsidRPr="000074FD" w:rsidRDefault="006B475E" w:rsidP="00FB0DEF">
            <w:pPr>
              <w:jc w:val="both"/>
              <w:rPr>
                <w:sz w:val="22"/>
                <w:szCs w:val="22"/>
              </w:rPr>
            </w:pPr>
          </w:p>
        </w:tc>
        <w:tc>
          <w:tcPr>
            <w:tcW w:w="2459" w:type="dxa"/>
          </w:tcPr>
          <w:p w:rsidR="006B475E" w:rsidRPr="000074FD" w:rsidRDefault="00EF0A9A" w:rsidP="00532B7F">
            <w:pPr>
              <w:rPr>
                <w:sz w:val="22"/>
                <w:szCs w:val="22"/>
                <w:lang w:val="bg-BG"/>
              </w:rPr>
            </w:pPr>
            <w:r>
              <w:rPr>
                <w:sz w:val="22"/>
                <w:szCs w:val="22"/>
                <w:lang w:val="bg-BG"/>
              </w:rPr>
              <w:t xml:space="preserve">Приема се </w:t>
            </w:r>
            <w:r w:rsidR="00532B7F">
              <w:rPr>
                <w:sz w:val="22"/>
                <w:szCs w:val="22"/>
                <w:lang w:val="bg-BG"/>
              </w:rPr>
              <w:t>по принцип</w:t>
            </w:r>
          </w:p>
        </w:tc>
        <w:tc>
          <w:tcPr>
            <w:tcW w:w="4762" w:type="dxa"/>
          </w:tcPr>
          <w:p w:rsidR="006B475E" w:rsidRPr="00025ACF" w:rsidRDefault="006B6C1F" w:rsidP="008D2D76">
            <w:pPr>
              <w:jc w:val="both"/>
              <w:rPr>
                <w:sz w:val="22"/>
                <w:szCs w:val="22"/>
                <w:lang w:val="bg-BG"/>
              </w:rPr>
            </w:pPr>
            <w:r w:rsidRPr="00B445AF">
              <w:rPr>
                <w:lang w:val="bg-BG"/>
              </w:rPr>
              <w:t xml:space="preserve">Комисията </w:t>
            </w:r>
            <w:r>
              <w:rPr>
                <w:lang w:val="bg-BG"/>
              </w:rPr>
              <w:t>за регулиране на съобщенията</w:t>
            </w:r>
            <w:r w:rsidR="00532B7F">
              <w:rPr>
                <w:lang w:val="bg-BG"/>
              </w:rPr>
              <w:t xml:space="preserve"> (КРС)</w:t>
            </w:r>
            <w:r>
              <w:rPr>
                <w:lang w:val="bg-BG"/>
              </w:rPr>
              <w:t xml:space="preserve"> изготви</w:t>
            </w:r>
            <w:r w:rsidRPr="00B445AF">
              <w:rPr>
                <w:lang w:val="bg-BG"/>
              </w:rPr>
              <w:t xml:space="preserve"> </w:t>
            </w:r>
            <w:r w:rsidR="00E661D9">
              <w:rPr>
                <w:lang w:val="bg-BG"/>
              </w:rPr>
              <w:t>изменен и допълнен</w:t>
            </w:r>
            <w:r w:rsidRPr="00B445AF">
              <w:rPr>
                <w:lang w:val="bg-BG"/>
              </w:rPr>
              <w:t xml:space="preserve"> проект на Правилата</w:t>
            </w:r>
            <w:r>
              <w:rPr>
                <w:lang w:val="bg-BG"/>
              </w:rPr>
              <w:t>, ко</w:t>
            </w:r>
            <w:r w:rsidR="00532B7F">
              <w:rPr>
                <w:lang w:val="bg-BG"/>
              </w:rPr>
              <w:t>й</w:t>
            </w:r>
            <w:r>
              <w:rPr>
                <w:lang w:val="bg-BG"/>
              </w:rPr>
              <w:t xml:space="preserve">то </w:t>
            </w:r>
            <w:r w:rsidR="00532B7F">
              <w:rPr>
                <w:lang w:val="bg-BG"/>
              </w:rPr>
              <w:t>е</w:t>
            </w:r>
            <w:r>
              <w:rPr>
                <w:lang w:val="bg-BG"/>
              </w:rPr>
              <w:t xml:space="preserve"> в съответствие с направените бележки и предложения</w:t>
            </w:r>
            <w:r w:rsidR="00532B7F">
              <w:rPr>
                <w:lang w:val="bg-BG"/>
              </w:rPr>
              <w:t>,</w:t>
            </w:r>
            <w:r>
              <w:rPr>
                <w:lang w:val="bg-BG"/>
              </w:rPr>
              <w:t xml:space="preserve"> по</w:t>
            </w:r>
            <w:r w:rsidR="000D6D32">
              <w:rPr>
                <w:lang w:val="bg-BG"/>
              </w:rPr>
              <w:t xml:space="preserve">стъпили в рамките на </w:t>
            </w:r>
            <w:r>
              <w:rPr>
                <w:lang w:val="bg-BG"/>
              </w:rPr>
              <w:t xml:space="preserve">общественото обсъждане. </w:t>
            </w:r>
            <w:r w:rsidR="00532B7F">
              <w:rPr>
                <w:lang w:val="bg-BG"/>
              </w:rPr>
              <w:t>Новият п</w:t>
            </w:r>
            <w:r>
              <w:rPr>
                <w:lang w:val="bg-BG"/>
              </w:rPr>
              <w:t xml:space="preserve">роект на правила ще бъде </w:t>
            </w:r>
            <w:r w:rsidRPr="008615D3">
              <w:rPr>
                <w:lang w:val="bg-BG"/>
              </w:rPr>
              <w:t>публикува</w:t>
            </w:r>
            <w:r>
              <w:rPr>
                <w:lang w:val="bg-BG"/>
              </w:rPr>
              <w:t>н на страницата на КРС</w:t>
            </w:r>
            <w:r w:rsidRPr="008615D3">
              <w:rPr>
                <w:lang w:val="bg-BG"/>
              </w:rPr>
              <w:t xml:space="preserve"> в интернет и на Портала за </w:t>
            </w:r>
            <w:r w:rsidR="00532B7F">
              <w:rPr>
                <w:lang w:val="bg-BG"/>
              </w:rPr>
              <w:t xml:space="preserve">обществени консултации за </w:t>
            </w:r>
            <w:r w:rsidR="00242BE3">
              <w:rPr>
                <w:lang w:val="bg-BG"/>
              </w:rPr>
              <w:t xml:space="preserve">ново обществено обсъждане. </w:t>
            </w:r>
          </w:p>
        </w:tc>
      </w:tr>
      <w:tr w:rsidR="00FB0DEF" w:rsidTr="008D2D76">
        <w:tc>
          <w:tcPr>
            <w:tcW w:w="2552" w:type="dxa"/>
          </w:tcPr>
          <w:p w:rsidR="00FB0DEF" w:rsidRPr="00B445AF" w:rsidRDefault="00E636A9" w:rsidP="00C0644E">
            <w:pPr>
              <w:rPr>
                <w:b/>
                <w:lang w:val="bg-BG"/>
              </w:rPr>
            </w:pPr>
            <w:r>
              <w:rPr>
                <w:b/>
                <w:lang w:val="bg-BG"/>
              </w:rPr>
              <w:t>Комисия за защита на потребителите (КЗП)</w:t>
            </w:r>
          </w:p>
        </w:tc>
        <w:tc>
          <w:tcPr>
            <w:tcW w:w="4267" w:type="dxa"/>
          </w:tcPr>
          <w:p w:rsidR="00FB0DEF" w:rsidRPr="00FB0DEF" w:rsidRDefault="00E636A9" w:rsidP="00FB0DEF">
            <w:pPr>
              <w:jc w:val="both"/>
              <w:rPr>
                <w:sz w:val="22"/>
                <w:szCs w:val="22"/>
                <w:lang w:val="bg-BG"/>
              </w:rPr>
            </w:pPr>
            <w:r>
              <w:rPr>
                <w:sz w:val="22"/>
                <w:szCs w:val="22"/>
                <w:lang w:val="bg-BG"/>
              </w:rPr>
              <w:t>КЗП няма коментари, бележки и предложения по Проекта на правилата</w:t>
            </w:r>
          </w:p>
        </w:tc>
        <w:tc>
          <w:tcPr>
            <w:tcW w:w="2459" w:type="dxa"/>
          </w:tcPr>
          <w:p w:rsidR="00FB0DEF" w:rsidRPr="00E636A9" w:rsidRDefault="00FB0DEF" w:rsidP="000074FD">
            <w:pPr>
              <w:jc w:val="both"/>
              <w:rPr>
                <w:sz w:val="22"/>
                <w:szCs w:val="22"/>
                <w:lang w:val="bg-BG"/>
              </w:rPr>
            </w:pPr>
          </w:p>
        </w:tc>
        <w:tc>
          <w:tcPr>
            <w:tcW w:w="4762" w:type="dxa"/>
          </w:tcPr>
          <w:p w:rsidR="00FB0DEF" w:rsidRPr="00FB0DEF" w:rsidRDefault="00FB0DEF" w:rsidP="00FB0DEF">
            <w:pPr>
              <w:spacing w:before="120" w:after="120"/>
              <w:jc w:val="both"/>
              <w:rPr>
                <w:sz w:val="22"/>
                <w:szCs w:val="22"/>
                <w:lang w:val="bg-BG"/>
              </w:rPr>
            </w:pPr>
          </w:p>
        </w:tc>
      </w:tr>
      <w:tr w:rsidR="000D6D32" w:rsidTr="00966413">
        <w:tc>
          <w:tcPr>
            <w:tcW w:w="14040" w:type="dxa"/>
            <w:gridSpan w:val="4"/>
          </w:tcPr>
          <w:p w:rsidR="000D6D32" w:rsidRPr="00FB0DEF" w:rsidRDefault="000D6D32" w:rsidP="008D2D76">
            <w:pPr>
              <w:jc w:val="center"/>
              <w:rPr>
                <w:sz w:val="22"/>
                <w:szCs w:val="22"/>
                <w:lang w:val="bg-BG"/>
              </w:rPr>
            </w:pPr>
            <w:r w:rsidRPr="00E636A9">
              <w:rPr>
                <w:b/>
                <w:lang w:val="bg-BG"/>
              </w:rPr>
              <w:t>Становища, постъпили от “strategy.bg”</w:t>
            </w:r>
          </w:p>
        </w:tc>
      </w:tr>
      <w:tr w:rsidR="000D6D32" w:rsidTr="008D2D76">
        <w:tc>
          <w:tcPr>
            <w:tcW w:w="2552" w:type="dxa"/>
          </w:tcPr>
          <w:p w:rsidR="000D6D32" w:rsidRPr="00E636A9" w:rsidRDefault="000D6D32" w:rsidP="00C0644E">
            <w:pPr>
              <w:rPr>
                <w:b/>
                <w:lang w:val="bg-BG"/>
              </w:rPr>
            </w:pPr>
          </w:p>
        </w:tc>
        <w:tc>
          <w:tcPr>
            <w:tcW w:w="4267" w:type="dxa"/>
          </w:tcPr>
          <w:p w:rsidR="000D6D32" w:rsidRPr="00E636A9" w:rsidRDefault="000D6D32" w:rsidP="000D6D32">
            <w:pPr>
              <w:jc w:val="both"/>
              <w:rPr>
                <w:sz w:val="22"/>
                <w:szCs w:val="22"/>
                <w:lang w:val="bg-BG"/>
              </w:rPr>
            </w:pPr>
            <w:r>
              <w:rPr>
                <w:sz w:val="22"/>
                <w:szCs w:val="22"/>
                <w:lang w:val="bg-BG"/>
              </w:rPr>
              <w:t xml:space="preserve">По какъв начин </w:t>
            </w:r>
            <w:r w:rsidRPr="00E636A9">
              <w:rPr>
                <w:sz w:val="22"/>
                <w:szCs w:val="22"/>
                <w:lang w:val="bg-BG"/>
              </w:rPr>
              <w:t>ще бъде спряно ненужното или дублиращо се предлагане на услуги, само и само за да се получат компенсациите</w:t>
            </w:r>
          </w:p>
          <w:p w:rsidR="000D6D32" w:rsidRPr="00E636A9" w:rsidRDefault="000D6D32" w:rsidP="00E636A9">
            <w:pPr>
              <w:jc w:val="both"/>
              <w:rPr>
                <w:sz w:val="22"/>
                <w:szCs w:val="22"/>
                <w:lang w:val="bg-BG"/>
              </w:rPr>
            </w:pPr>
          </w:p>
        </w:tc>
        <w:tc>
          <w:tcPr>
            <w:tcW w:w="2459" w:type="dxa"/>
          </w:tcPr>
          <w:p w:rsidR="000D6D32" w:rsidRPr="008D2D76" w:rsidRDefault="00532B7F" w:rsidP="000074FD">
            <w:pPr>
              <w:jc w:val="both"/>
              <w:rPr>
                <w:b/>
                <w:sz w:val="22"/>
                <w:szCs w:val="22"/>
                <w:lang w:val="bg-BG"/>
              </w:rPr>
            </w:pPr>
            <w:r>
              <w:rPr>
                <w:b/>
                <w:sz w:val="22"/>
                <w:szCs w:val="22"/>
                <w:lang w:val="bg-BG"/>
              </w:rPr>
              <w:t>Коментар</w:t>
            </w:r>
          </w:p>
        </w:tc>
        <w:tc>
          <w:tcPr>
            <w:tcW w:w="4762" w:type="dxa"/>
          </w:tcPr>
          <w:p w:rsidR="000D6D32" w:rsidRDefault="000D6D32">
            <w:pPr>
              <w:spacing w:before="120" w:after="120"/>
              <w:jc w:val="both"/>
              <w:rPr>
                <w:sz w:val="22"/>
                <w:szCs w:val="22"/>
                <w:lang w:val="bg-BG"/>
              </w:rPr>
            </w:pPr>
            <w:r>
              <w:rPr>
                <w:sz w:val="22"/>
                <w:szCs w:val="22"/>
                <w:lang w:val="bg-BG"/>
              </w:rPr>
              <w:t xml:space="preserve">Направената бележка не е </w:t>
            </w:r>
            <w:proofErr w:type="spellStart"/>
            <w:r>
              <w:rPr>
                <w:sz w:val="22"/>
                <w:szCs w:val="22"/>
                <w:lang w:val="bg-BG"/>
              </w:rPr>
              <w:t>относима</w:t>
            </w:r>
            <w:proofErr w:type="spellEnd"/>
            <w:r>
              <w:rPr>
                <w:sz w:val="22"/>
                <w:szCs w:val="22"/>
                <w:lang w:val="bg-BG"/>
              </w:rPr>
              <w:t xml:space="preserve">, към документа, поставен на обществено обсъждане. </w:t>
            </w:r>
            <w:r w:rsidR="00BE2DDA">
              <w:rPr>
                <w:sz w:val="22"/>
                <w:szCs w:val="22"/>
                <w:lang w:val="bg-BG"/>
              </w:rPr>
              <w:t>В</w:t>
            </w:r>
            <w:r>
              <w:rPr>
                <w:sz w:val="22"/>
                <w:szCs w:val="22"/>
                <w:lang w:val="bg-BG"/>
              </w:rPr>
              <w:t>ъзлагане</w:t>
            </w:r>
            <w:r w:rsidR="00BE2DDA">
              <w:rPr>
                <w:sz w:val="22"/>
                <w:szCs w:val="22"/>
                <w:lang w:val="bg-BG"/>
              </w:rPr>
              <w:t>то</w:t>
            </w:r>
            <w:r>
              <w:rPr>
                <w:sz w:val="22"/>
                <w:szCs w:val="22"/>
                <w:lang w:val="bg-BG"/>
              </w:rPr>
              <w:t xml:space="preserve"> на задължението за предоставяне на универсалната услуга се урежда в </w:t>
            </w:r>
            <w:r w:rsidR="00BE2DDA">
              <w:rPr>
                <w:sz w:val="22"/>
                <w:szCs w:val="22"/>
                <w:lang w:val="bg-BG"/>
              </w:rPr>
              <w:t xml:space="preserve">Раздел </w:t>
            </w:r>
            <w:r w:rsidR="00BE2DDA">
              <w:rPr>
                <w:sz w:val="22"/>
                <w:szCs w:val="22"/>
                <w:lang w:val="en-US"/>
              </w:rPr>
              <w:t>III</w:t>
            </w:r>
            <w:r w:rsidR="00BE2DDA">
              <w:rPr>
                <w:sz w:val="22"/>
                <w:szCs w:val="22"/>
                <w:lang w:val="bg-BG"/>
              </w:rPr>
              <w:t xml:space="preserve"> </w:t>
            </w:r>
            <w:r w:rsidR="00532B7F">
              <w:rPr>
                <w:sz w:val="22"/>
                <w:szCs w:val="22"/>
                <w:lang w:val="bg-BG"/>
              </w:rPr>
              <w:t>„</w:t>
            </w:r>
            <w:r w:rsidR="00BE2DDA">
              <w:rPr>
                <w:sz w:val="22"/>
                <w:szCs w:val="22"/>
                <w:lang w:val="bg-BG"/>
              </w:rPr>
              <w:t>Налагане на задължения за предоставяне на универсална услуга</w:t>
            </w:r>
            <w:r w:rsidR="00532B7F">
              <w:rPr>
                <w:sz w:val="22"/>
                <w:szCs w:val="22"/>
                <w:lang w:val="bg-BG"/>
              </w:rPr>
              <w:t>“</w:t>
            </w:r>
            <w:r w:rsidR="00BE2DDA">
              <w:rPr>
                <w:sz w:val="22"/>
                <w:szCs w:val="22"/>
                <w:lang w:val="bg-BG"/>
              </w:rPr>
              <w:t xml:space="preserve">, Глава единадесета </w:t>
            </w:r>
            <w:r w:rsidR="00532B7F">
              <w:rPr>
                <w:sz w:val="22"/>
                <w:szCs w:val="22"/>
                <w:lang w:val="bg-BG"/>
              </w:rPr>
              <w:t>„</w:t>
            </w:r>
            <w:r w:rsidR="009831E9">
              <w:rPr>
                <w:sz w:val="22"/>
                <w:szCs w:val="22"/>
                <w:lang w:val="bg-BG"/>
              </w:rPr>
              <w:t>Универсална услуга</w:t>
            </w:r>
            <w:r w:rsidR="00532B7F">
              <w:rPr>
                <w:sz w:val="22"/>
                <w:szCs w:val="22"/>
                <w:lang w:val="bg-BG"/>
              </w:rPr>
              <w:t>“</w:t>
            </w:r>
            <w:r w:rsidR="00BE2DDA">
              <w:rPr>
                <w:sz w:val="22"/>
                <w:szCs w:val="22"/>
                <w:lang w:val="bg-BG"/>
              </w:rPr>
              <w:t xml:space="preserve"> от Закона за електронните съобщения (ЗЕС). Съгласно чл. 193 от ЗЕС</w:t>
            </w:r>
            <w:r w:rsidR="00532B7F">
              <w:rPr>
                <w:sz w:val="22"/>
                <w:szCs w:val="22"/>
                <w:lang w:val="bg-BG"/>
              </w:rPr>
              <w:t>,</w:t>
            </w:r>
            <w:r w:rsidR="00BE2DDA">
              <w:rPr>
                <w:sz w:val="22"/>
                <w:szCs w:val="22"/>
                <w:lang w:val="bg-BG"/>
              </w:rPr>
              <w:t xml:space="preserve"> редът за налагането на задължения във връзка с предоставянето на универсалната услуга  се определя в </w:t>
            </w:r>
            <w:r>
              <w:rPr>
                <w:sz w:val="22"/>
                <w:szCs w:val="22"/>
                <w:lang w:val="bg-BG"/>
              </w:rPr>
              <w:t>Нар</w:t>
            </w:r>
            <w:r w:rsidR="00BE2DDA">
              <w:rPr>
                <w:sz w:val="22"/>
                <w:szCs w:val="22"/>
                <w:lang w:val="bg-BG"/>
              </w:rPr>
              <w:t xml:space="preserve">едба на министъра на транспорта, информационните технологии и съобщенията по предложение на КРС. </w:t>
            </w:r>
          </w:p>
          <w:p w:rsidR="00BE2DDA" w:rsidDel="000D6D32" w:rsidRDefault="00BE2DDA">
            <w:pPr>
              <w:spacing w:before="120" w:after="120"/>
              <w:jc w:val="both"/>
              <w:rPr>
                <w:sz w:val="22"/>
                <w:szCs w:val="22"/>
                <w:lang w:val="bg-BG"/>
              </w:rPr>
            </w:pPr>
            <w:r>
              <w:rPr>
                <w:sz w:val="22"/>
                <w:szCs w:val="22"/>
                <w:lang w:val="bg-BG"/>
              </w:rPr>
              <w:t>В допълнение</w:t>
            </w:r>
            <w:r w:rsidR="00532B7F">
              <w:rPr>
                <w:sz w:val="22"/>
                <w:szCs w:val="22"/>
                <w:lang w:val="bg-BG"/>
              </w:rPr>
              <w:t>,</w:t>
            </w:r>
            <w:r>
              <w:rPr>
                <w:sz w:val="22"/>
                <w:szCs w:val="22"/>
                <w:lang w:val="bg-BG"/>
              </w:rPr>
              <w:t xml:space="preserve"> съгласно чл. 188</w:t>
            </w:r>
            <w:r w:rsidR="00532B7F">
              <w:rPr>
                <w:sz w:val="22"/>
                <w:szCs w:val="22"/>
                <w:lang w:val="bg-BG"/>
              </w:rPr>
              <w:t>, ал. 2</w:t>
            </w:r>
            <w:r>
              <w:rPr>
                <w:sz w:val="22"/>
                <w:szCs w:val="22"/>
                <w:lang w:val="bg-BG"/>
              </w:rPr>
              <w:t xml:space="preserve"> от ЗЕС, КРС налага задължения за предоставяне на универсалната услуга когато установи, че наличността в определено местоположение на услуга за подходящ широколентов достъп до интернет и на услуги за гласови съобщения не може да бъде осигурена при обичайни търговски условия.</w:t>
            </w:r>
          </w:p>
        </w:tc>
      </w:tr>
      <w:tr w:rsidR="000D6D32" w:rsidTr="008D2D76">
        <w:tc>
          <w:tcPr>
            <w:tcW w:w="2552" w:type="dxa"/>
          </w:tcPr>
          <w:p w:rsidR="000D6D32" w:rsidRPr="00E636A9" w:rsidRDefault="000D6D32" w:rsidP="00C0644E">
            <w:pPr>
              <w:rPr>
                <w:b/>
                <w:lang w:val="bg-BG"/>
              </w:rPr>
            </w:pPr>
          </w:p>
        </w:tc>
        <w:tc>
          <w:tcPr>
            <w:tcW w:w="4267" w:type="dxa"/>
          </w:tcPr>
          <w:p w:rsidR="000D6D32" w:rsidRDefault="000D6D32" w:rsidP="000D6D32">
            <w:pPr>
              <w:jc w:val="both"/>
              <w:rPr>
                <w:sz w:val="22"/>
                <w:szCs w:val="22"/>
                <w:lang w:val="bg-BG"/>
              </w:rPr>
            </w:pPr>
            <w:r w:rsidRPr="00E636A9">
              <w:rPr>
                <w:sz w:val="22"/>
                <w:szCs w:val="22"/>
                <w:lang w:val="bg-BG"/>
              </w:rPr>
              <w:t>Възвръщаемостта на вложения капитал се определя като съотношение между размера на печалбата преди лихви и данъци и разликата между общата сума на активите и текущите (краткосрочни) задължения. Как е определен процента и съотношението от Комисията?</w:t>
            </w:r>
          </w:p>
          <w:p w:rsidR="000D6D32" w:rsidRDefault="000D6D32" w:rsidP="00E636A9">
            <w:pPr>
              <w:jc w:val="both"/>
              <w:rPr>
                <w:sz w:val="22"/>
                <w:szCs w:val="22"/>
                <w:lang w:val="bg-BG"/>
              </w:rPr>
            </w:pPr>
          </w:p>
          <w:p w:rsidR="000D6D32" w:rsidRPr="00E636A9" w:rsidRDefault="000D6D32" w:rsidP="00E636A9">
            <w:pPr>
              <w:jc w:val="both"/>
              <w:rPr>
                <w:sz w:val="22"/>
                <w:szCs w:val="22"/>
                <w:lang w:val="bg-BG"/>
              </w:rPr>
            </w:pPr>
          </w:p>
        </w:tc>
        <w:tc>
          <w:tcPr>
            <w:tcW w:w="2459" w:type="dxa"/>
          </w:tcPr>
          <w:p w:rsidR="000D6D32" w:rsidRPr="008D2D76" w:rsidRDefault="00532B7F" w:rsidP="000074FD">
            <w:pPr>
              <w:jc w:val="both"/>
              <w:rPr>
                <w:b/>
                <w:sz w:val="22"/>
                <w:szCs w:val="22"/>
                <w:lang w:val="bg-BG"/>
              </w:rPr>
            </w:pPr>
            <w:r>
              <w:rPr>
                <w:b/>
                <w:sz w:val="22"/>
                <w:szCs w:val="22"/>
                <w:lang w:val="bg-BG"/>
              </w:rPr>
              <w:t>Коментар</w:t>
            </w:r>
          </w:p>
        </w:tc>
        <w:tc>
          <w:tcPr>
            <w:tcW w:w="4762" w:type="dxa"/>
          </w:tcPr>
          <w:p w:rsidR="00A4200B" w:rsidRDefault="00A4200B" w:rsidP="000D6D32">
            <w:pPr>
              <w:spacing w:before="120" w:after="120"/>
              <w:jc w:val="both"/>
              <w:rPr>
                <w:sz w:val="22"/>
                <w:szCs w:val="22"/>
                <w:lang w:val="bg-BG"/>
              </w:rPr>
            </w:pPr>
            <w:r>
              <w:rPr>
                <w:sz w:val="22"/>
                <w:szCs w:val="22"/>
                <w:lang w:val="bg-BG"/>
              </w:rPr>
              <w:t xml:space="preserve">Конкретен процент не е определен от Комисията, тъй като показателите за ефективност не са константна величина, а зависят от управлението на конкретното предприятие. </w:t>
            </w:r>
          </w:p>
          <w:p w:rsidR="000D6D32" w:rsidRPr="00E636A9" w:rsidRDefault="00A4200B" w:rsidP="000D6D32">
            <w:pPr>
              <w:spacing w:before="120" w:after="120"/>
              <w:jc w:val="both"/>
              <w:rPr>
                <w:sz w:val="22"/>
                <w:szCs w:val="22"/>
                <w:lang w:val="bg-BG"/>
              </w:rPr>
            </w:pPr>
            <w:r>
              <w:rPr>
                <w:sz w:val="22"/>
                <w:szCs w:val="22"/>
                <w:lang w:val="bg-BG"/>
              </w:rPr>
              <w:t xml:space="preserve">Предложеното съотношение представлява </w:t>
            </w:r>
            <w:r w:rsidR="000D6D32" w:rsidRPr="00E636A9">
              <w:rPr>
                <w:sz w:val="22"/>
                <w:szCs w:val="22"/>
                <w:lang w:val="bg-BG"/>
              </w:rPr>
              <w:t xml:space="preserve">финансов показател, чрез който се оценява рентабилността на предприятието и ефективното използване на капитала. Чрез този показател се определя способността на предприятието да генерира печалба от капиталът, който използва. Възвръщаемостта към </w:t>
            </w:r>
            <w:r w:rsidR="000D6D32">
              <w:rPr>
                <w:sz w:val="22"/>
                <w:szCs w:val="22"/>
                <w:lang w:val="bg-BG"/>
              </w:rPr>
              <w:t>вложения</w:t>
            </w:r>
            <w:r w:rsidR="000D6D32" w:rsidRPr="00E636A9">
              <w:rPr>
                <w:sz w:val="22"/>
                <w:szCs w:val="22"/>
                <w:lang w:val="bg-BG"/>
              </w:rPr>
              <w:t xml:space="preserve"> капитал е един от показателите, </w:t>
            </w:r>
            <w:r w:rsidR="000D6D32" w:rsidRPr="00E636A9">
              <w:rPr>
                <w:sz w:val="22"/>
                <w:szCs w:val="22"/>
                <w:lang w:val="bg-BG"/>
              </w:rPr>
              <w:lastRenderedPageBreak/>
              <w:t>необходим</w:t>
            </w:r>
            <w:r w:rsidR="000D6D32">
              <w:rPr>
                <w:sz w:val="22"/>
                <w:szCs w:val="22"/>
                <w:lang w:val="bg-BG"/>
              </w:rPr>
              <w:t>и</w:t>
            </w:r>
            <w:r w:rsidR="000D6D32" w:rsidRPr="00E636A9">
              <w:rPr>
                <w:sz w:val="22"/>
                <w:szCs w:val="22"/>
                <w:lang w:val="bg-BG"/>
              </w:rPr>
              <w:t xml:space="preserve"> на финансовите мениджъри, акционерите и потенциалните инвеститори, когато се анализира възможността за инвестиции в съответното предприятие.</w:t>
            </w:r>
          </w:p>
          <w:p w:rsidR="000D6D32" w:rsidDel="000D6D32" w:rsidRDefault="00A4200B">
            <w:pPr>
              <w:spacing w:before="120" w:after="120"/>
              <w:jc w:val="both"/>
              <w:rPr>
                <w:sz w:val="22"/>
                <w:szCs w:val="22"/>
                <w:lang w:val="bg-BG"/>
              </w:rPr>
            </w:pPr>
            <w:r>
              <w:rPr>
                <w:sz w:val="22"/>
                <w:szCs w:val="22"/>
                <w:lang w:val="bg-BG"/>
              </w:rPr>
              <w:t xml:space="preserve">Определеното от КРС съотношение е в съответствие с </w:t>
            </w:r>
            <w:r w:rsidRPr="00BA2505">
              <w:rPr>
                <w:bCs/>
                <w:lang w:val="bg-BG"/>
              </w:rPr>
              <w:t>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w:t>
            </w:r>
            <w:r>
              <w:rPr>
                <w:bCs/>
                <w:lang w:val="bg-BG"/>
              </w:rPr>
              <w:t>)</w:t>
            </w:r>
          </w:p>
        </w:tc>
      </w:tr>
      <w:tr w:rsidR="000D6D32" w:rsidTr="008D2D76">
        <w:tc>
          <w:tcPr>
            <w:tcW w:w="2552" w:type="dxa"/>
          </w:tcPr>
          <w:p w:rsidR="000D6D32" w:rsidRPr="00E636A9" w:rsidRDefault="000D6D32" w:rsidP="000D6D32">
            <w:pPr>
              <w:rPr>
                <w:b/>
                <w:lang w:val="bg-BG"/>
              </w:rPr>
            </w:pPr>
          </w:p>
        </w:tc>
        <w:tc>
          <w:tcPr>
            <w:tcW w:w="4267" w:type="dxa"/>
          </w:tcPr>
          <w:p w:rsidR="000D6D32" w:rsidRDefault="000D6D32" w:rsidP="000D6D32">
            <w:pPr>
              <w:jc w:val="both"/>
              <w:rPr>
                <w:sz w:val="22"/>
                <w:szCs w:val="22"/>
                <w:lang w:val="bg-BG"/>
              </w:rPr>
            </w:pPr>
            <w:r w:rsidRPr="00E636A9">
              <w:rPr>
                <w:sz w:val="22"/>
                <w:szCs w:val="22"/>
                <w:lang w:val="bg-BG"/>
              </w:rPr>
              <w:t>ROI или ROE, EBIT или NOPAT - Как Комисията е определила и решила коя стойност да бъде използвана при изчисляване на компенсацията и има ли значение с какви пари се финансира инвестицията с несправедлива тежест?</w:t>
            </w:r>
          </w:p>
          <w:p w:rsidR="000D6D32" w:rsidRPr="00E636A9" w:rsidRDefault="000D6D32" w:rsidP="000D6D32">
            <w:pPr>
              <w:jc w:val="both"/>
              <w:rPr>
                <w:sz w:val="22"/>
                <w:szCs w:val="22"/>
                <w:lang w:val="bg-BG"/>
              </w:rPr>
            </w:pPr>
          </w:p>
        </w:tc>
        <w:tc>
          <w:tcPr>
            <w:tcW w:w="2459" w:type="dxa"/>
          </w:tcPr>
          <w:p w:rsidR="000D6D32" w:rsidRPr="008D2D76" w:rsidRDefault="00532B7F" w:rsidP="000D6D32">
            <w:pPr>
              <w:jc w:val="both"/>
              <w:rPr>
                <w:b/>
                <w:sz w:val="22"/>
                <w:szCs w:val="22"/>
                <w:lang w:val="bg-BG"/>
              </w:rPr>
            </w:pPr>
            <w:r>
              <w:rPr>
                <w:b/>
                <w:sz w:val="22"/>
                <w:szCs w:val="22"/>
                <w:lang w:val="bg-BG"/>
              </w:rPr>
              <w:t>Коментар</w:t>
            </w:r>
          </w:p>
        </w:tc>
        <w:tc>
          <w:tcPr>
            <w:tcW w:w="4762" w:type="dxa"/>
          </w:tcPr>
          <w:p w:rsidR="000D6D32" w:rsidRDefault="002955DE" w:rsidP="000D6D32">
            <w:pPr>
              <w:spacing w:before="120" w:after="120"/>
              <w:jc w:val="both"/>
              <w:rPr>
                <w:bCs/>
                <w:lang w:val="bg-BG"/>
              </w:rPr>
            </w:pPr>
            <w:r>
              <w:rPr>
                <w:sz w:val="22"/>
                <w:szCs w:val="22"/>
                <w:lang w:val="bg-BG"/>
              </w:rPr>
              <w:t xml:space="preserve">Определеното от КРС съотношение е в съответствие с </w:t>
            </w:r>
            <w:r w:rsidRPr="00BA2505">
              <w:rPr>
                <w:bCs/>
                <w:lang w:val="bg-BG"/>
              </w:rPr>
              <w:t>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w:t>
            </w:r>
            <w:r>
              <w:rPr>
                <w:bCs/>
                <w:lang w:val="bg-BG"/>
              </w:rPr>
              <w:t>)</w:t>
            </w:r>
            <w:r w:rsidR="00355A97">
              <w:rPr>
                <w:bCs/>
                <w:lang w:val="bg-BG"/>
              </w:rPr>
              <w:t>.</w:t>
            </w:r>
          </w:p>
          <w:p w:rsidR="00355A97" w:rsidDel="000D6D32" w:rsidRDefault="00355A97" w:rsidP="000D6D32">
            <w:pPr>
              <w:spacing w:before="120" w:after="120"/>
              <w:jc w:val="both"/>
              <w:rPr>
                <w:sz w:val="22"/>
                <w:szCs w:val="22"/>
                <w:lang w:val="bg-BG"/>
              </w:rPr>
            </w:pPr>
            <w:r>
              <w:rPr>
                <w:bCs/>
                <w:lang w:val="bg-BG"/>
              </w:rPr>
              <w:t xml:space="preserve">КРС обръща внимание, че се компенсират доказаните нетни разходи, в случай че те представляват несправедлива тежест за задълженото предприятие, при условие че предоставянето на универсалната услуга </w:t>
            </w:r>
            <w:r>
              <w:rPr>
                <w:bCs/>
                <w:lang w:val="bg-BG"/>
              </w:rPr>
              <w:lastRenderedPageBreak/>
              <w:t>води до загуби или се предлага на цени под разумната норма на печалба.</w:t>
            </w:r>
          </w:p>
        </w:tc>
      </w:tr>
      <w:tr w:rsidR="000D6D32" w:rsidTr="008D2D76">
        <w:tc>
          <w:tcPr>
            <w:tcW w:w="2552" w:type="dxa"/>
          </w:tcPr>
          <w:p w:rsidR="000D6D32" w:rsidRPr="00E636A9" w:rsidRDefault="000D6D32" w:rsidP="000D6D32">
            <w:pPr>
              <w:rPr>
                <w:b/>
                <w:lang w:val="bg-BG"/>
              </w:rPr>
            </w:pPr>
          </w:p>
        </w:tc>
        <w:tc>
          <w:tcPr>
            <w:tcW w:w="4267" w:type="dxa"/>
          </w:tcPr>
          <w:p w:rsidR="000D6D32" w:rsidRPr="00E636A9" w:rsidRDefault="000D6D32" w:rsidP="000D6D32">
            <w:pPr>
              <w:jc w:val="both"/>
              <w:rPr>
                <w:sz w:val="22"/>
                <w:szCs w:val="22"/>
                <w:lang w:val="bg-BG"/>
              </w:rPr>
            </w:pPr>
            <w:r w:rsidRPr="00E636A9">
              <w:rPr>
                <w:sz w:val="22"/>
                <w:szCs w:val="22"/>
                <w:lang w:val="bg-BG"/>
              </w:rPr>
              <w:t>Конкретното определяне на разумната норма на печалба (РНП), която не трябва да надвишава възвращаемостта на вложения капитал (ВВК), е свързано с предпоставки за субективизъм. Ако възвращаемостта е например 10 %, колко да е РНП – 1%, 5% или 10%? Затова е логично и обективно да се определи предварително ясен и определен размер на РНП, примерно 50% от ВВК. По този начин, в случай че има две или повече предприятия, които предоставят отделни части от универсалната услуга, те ще се третират при еднакви условия. Ако едното предприятие има ВВК 10%, неговата РНП ще е 5%, ако второто предприятие има ВВК 20%, неговата РНП ще е 10%, ако третото предприятие има ВВК 15%, неговата РНП ще е 7,5%. По този начин ще се постигне максимална справедливост към тези предприятия.</w:t>
            </w:r>
          </w:p>
          <w:p w:rsidR="000D6D32" w:rsidRPr="00E636A9" w:rsidRDefault="000D6D32" w:rsidP="000D6D32">
            <w:pPr>
              <w:jc w:val="both"/>
              <w:rPr>
                <w:sz w:val="22"/>
                <w:szCs w:val="22"/>
                <w:lang w:val="bg-BG"/>
              </w:rPr>
            </w:pPr>
          </w:p>
        </w:tc>
        <w:tc>
          <w:tcPr>
            <w:tcW w:w="2459" w:type="dxa"/>
          </w:tcPr>
          <w:p w:rsidR="000D6D32" w:rsidRPr="008D2D76" w:rsidRDefault="007632B5" w:rsidP="000D6D32">
            <w:pPr>
              <w:jc w:val="both"/>
              <w:rPr>
                <w:b/>
                <w:sz w:val="22"/>
                <w:szCs w:val="22"/>
                <w:lang w:val="bg-BG"/>
              </w:rPr>
            </w:pPr>
            <w:r w:rsidRPr="008D2D76">
              <w:rPr>
                <w:b/>
                <w:sz w:val="22"/>
                <w:szCs w:val="22"/>
                <w:lang w:val="bg-BG"/>
              </w:rPr>
              <w:t>Не се приема</w:t>
            </w:r>
          </w:p>
        </w:tc>
        <w:tc>
          <w:tcPr>
            <w:tcW w:w="4762" w:type="dxa"/>
          </w:tcPr>
          <w:p w:rsidR="000D6D32" w:rsidRDefault="007632B5" w:rsidP="000D6D32">
            <w:pPr>
              <w:spacing w:before="120" w:after="120"/>
              <w:jc w:val="both"/>
              <w:rPr>
                <w:sz w:val="22"/>
                <w:szCs w:val="22"/>
                <w:lang w:val="bg-BG"/>
              </w:rPr>
            </w:pPr>
            <w:r>
              <w:rPr>
                <w:sz w:val="22"/>
                <w:szCs w:val="22"/>
                <w:lang w:val="bg-BG"/>
              </w:rPr>
              <w:t xml:space="preserve">Разумната норма на печалба не може да бъде константна величина. Генерирането на печалба от съответното предприятие зависи от ефективното управление на ресурсите, с които разполага, за да постигне целите на организацията. </w:t>
            </w:r>
            <w:r w:rsidR="00456794">
              <w:rPr>
                <w:sz w:val="22"/>
                <w:szCs w:val="22"/>
                <w:lang w:val="bg-BG"/>
              </w:rPr>
              <w:t>В тази връзка</w:t>
            </w:r>
            <w:r w:rsidR="00532B7F">
              <w:rPr>
                <w:sz w:val="22"/>
                <w:szCs w:val="22"/>
                <w:lang w:val="bg-BG"/>
              </w:rPr>
              <w:t>,</w:t>
            </w:r>
            <w:r w:rsidR="00456794">
              <w:rPr>
                <w:sz w:val="22"/>
                <w:szCs w:val="22"/>
                <w:lang w:val="bg-BG"/>
              </w:rPr>
              <w:t xml:space="preserve"> възвръщаемостта към вложения</w:t>
            </w:r>
            <w:r w:rsidR="005445A0">
              <w:rPr>
                <w:sz w:val="22"/>
                <w:szCs w:val="22"/>
                <w:lang w:val="bg-BG"/>
              </w:rPr>
              <w:t xml:space="preserve"> капитал</w:t>
            </w:r>
            <w:r w:rsidR="00456794">
              <w:rPr>
                <w:sz w:val="22"/>
                <w:szCs w:val="22"/>
                <w:lang w:val="bg-BG"/>
              </w:rPr>
              <w:t xml:space="preserve"> е един от показателите, посочен в </w:t>
            </w:r>
            <w:r w:rsidR="00456794" w:rsidRPr="00BA2505">
              <w:rPr>
                <w:bCs/>
                <w:lang w:val="bg-BG"/>
              </w:rPr>
              <w:t>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w:t>
            </w:r>
            <w:r w:rsidR="00456794">
              <w:rPr>
                <w:bCs/>
                <w:lang w:val="bg-BG"/>
              </w:rPr>
              <w:t>), като подходящ за определяне на разумната норма на печалба.</w:t>
            </w:r>
          </w:p>
          <w:p w:rsidR="007632B5" w:rsidDel="000D6D32" w:rsidRDefault="007632B5" w:rsidP="000D6D32">
            <w:pPr>
              <w:spacing w:before="120" w:after="120"/>
              <w:jc w:val="both"/>
              <w:rPr>
                <w:sz w:val="22"/>
                <w:szCs w:val="22"/>
                <w:lang w:val="bg-BG"/>
              </w:rPr>
            </w:pPr>
          </w:p>
        </w:tc>
      </w:tr>
      <w:tr w:rsidR="000D6D32" w:rsidTr="0053301E">
        <w:tc>
          <w:tcPr>
            <w:tcW w:w="14040" w:type="dxa"/>
            <w:gridSpan w:val="4"/>
          </w:tcPr>
          <w:p w:rsidR="000D6D32" w:rsidRPr="00FB0DEF" w:rsidRDefault="000D6D32" w:rsidP="000D6D32">
            <w:pPr>
              <w:spacing w:before="120" w:after="120"/>
              <w:jc w:val="center"/>
              <w:rPr>
                <w:sz w:val="22"/>
                <w:szCs w:val="22"/>
                <w:lang w:val="bg-BG"/>
              </w:rPr>
            </w:pPr>
            <w:r w:rsidRPr="00DE080A">
              <w:rPr>
                <w:b/>
                <w:bCs/>
                <w:iCs/>
                <w:sz w:val="22"/>
                <w:szCs w:val="22"/>
                <w:lang w:val="bg-BG"/>
              </w:rPr>
              <w:t>КОНКРЕТНИ БЕЛЕЖКИ ПО ПРОЕКТА</w:t>
            </w:r>
          </w:p>
        </w:tc>
      </w:tr>
      <w:tr w:rsidR="000D6D32" w:rsidTr="008D2D76">
        <w:tc>
          <w:tcPr>
            <w:tcW w:w="2552" w:type="dxa"/>
          </w:tcPr>
          <w:p w:rsidR="000D6D32" w:rsidRPr="00B445AF" w:rsidRDefault="000D6D32" w:rsidP="000D6D32">
            <w:pPr>
              <w:rPr>
                <w:b/>
                <w:lang w:val="bg-BG"/>
              </w:rPr>
            </w:pPr>
            <w:r>
              <w:rPr>
                <w:b/>
                <w:lang w:val="bg-BG"/>
              </w:rPr>
              <w:t>Министерство на финансите</w:t>
            </w:r>
          </w:p>
        </w:tc>
        <w:tc>
          <w:tcPr>
            <w:tcW w:w="4267" w:type="dxa"/>
          </w:tcPr>
          <w:p w:rsidR="000D6D32" w:rsidRPr="008869A5" w:rsidRDefault="000D6D32" w:rsidP="000D6D32">
            <w:pPr>
              <w:jc w:val="both"/>
              <w:rPr>
                <w:sz w:val="22"/>
                <w:szCs w:val="22"/>
                <w:lang w:val="bg-BG"/>
              </w:rPr>
            </w:pPr>
            <w:r w:rsidRPr="008869A5">
              <w:rPr>
                <w:sz w:val="22"/>
                <w:szCs w:val="22"/>
                <w:lang w:val="bg-BG"/>
              </w:rPr>
              <w:t xml:space="preserve">МФ счита, че Правилата за изчисляване на нетните разходи за предоставяне на универсална услуга, които се приемат от Комисията за регулиране на съобщенията (КРС) съгласно чл. 201 от Закона за електронните съобщения, следва да въведат изискванията на Приложение VII, част А към Директива (ЕС) 2018/1972 на Европейския парламент и на Съвета от 11 декември 2018 г. за установяване на </w:t>
            </w:r>
            <w:r w:rsidRPr="008869A5">
              <w:rPr>
                <w:sz w:val="22"/>
                <w:szCs w:val="22"/>
                <w:lang w:val="bg-BG"/>
              </w:rPr>
              <w:lastRenderedPageBreak/>
              <w:t xml:space="preserve">Европейски кодекс за електронни съобщения, транспонирана със Закона за изменение и допълнение на Закона за електронните съобщения (ДВ, бр. 20 от 2021 г.). Според МФ съгласно приложението към Директивата, нетните разходи за задължението за предоставяне на универсална услуга следва да се изчисляват като разлика между нетните разходи на предприятието със задължението за извършване на универсална услуга и нетните разходи при работа без такова задължение, като се обърне внимание на правилната оценка на разходите, които предприятието би предпочело да избегне, ако няма задължение за предоставяне на универсална услуга. На следващо място МФ посочва, че при изчислението на нетните разходи следва да се прави оценка на ползите, включително нематериалните за предприятието, което предоставя универсалната услуга. </w:t>
            </w:r>
          </w:p>
          <w:p w:rsidR="000D6D32" w:rsidRPr="008869A5" w:rsidRDefault="000D6D32" w:rsidP="000D6D32">
            <w:pPr>
              <w:jc w:val="both"/>
              <w:rPr>
                <w:sz w:val="22"/>
                <w:szCs w:val="22"/>
                <w:lang w:val="bg-BG"/>
              </w:rPr>
            </w:pPr>
            <w:r w:rsidRPr="008869A5">
              <w:rPr>
                <w:sz w:val="22"/>
                <w:szCs w:val="22"/>
                <w:lang w:val="bg-BG"/>
              </w:rPr>
              <w:tab/>
              <w:t xml:space="preserve">В тази връзка МФ прави следните бележки и предложения по представения проект на Правила - в чл. 4, 5 и 7 от проекта е посочено, че нетните разходи за съответните услуги се изчисляват като разлика между сумата на приходите от услуги като част от универсалната услуга и сумата от приходите от услуги със същите параметри извън обхвата на универсалната услуга. Министерство на финансите счита, че когато се изчисляват нетни разходи, следва да се съпоставят разходи и приходи от изпълнение на дадена услуга, а не </w:t>
            </w:r>
            <w:r w:rsidRPr="008869A5">
              <w:rPr>
                <w:sz w:val="22"/>
                <w:szCs w:val="22"/>
                <w:lang w:val="bg-BG"/>
              </w:rPr>
              <w:lastRenderedPageBreak/>
              <w:t>приходи с приходи. Съгласно чл. 6 от Правилата, от друга страна, нетните разходи се изчисляват като разлика между разходите за услуги със и без задължение за предоставяне на универсална услуга и към нея се прибавя сумата на приходите от предоставянето им. Посоченият метод за изчисление на нетни разходи също не е в съответствие с изискването да се вземат предвид разходи и приходи със и без задължение за предоставяне на универсална услуга. Предвид това, предложението на МФ е чл. 4 - 7 от проекта на Правила да се прецизират, като се въведе подходящ метод за изчисляване на нетните разходи от предоставянето на която и да е от услугите по чл. 2, ал. 1, попадащи в обхвата на универсалната услуга, в съответствие с изискванията на Директивата.</w:t>
            </w:r>
          </w:p>
          <w:p w:rsidR="000D6D32" w:rsidRPr="008869A5" w:rsidRDefault="000D6D32" w:rsidP="000D6D32">
            <w:pPr>
              <w:jc w:val="both"/>
              <w:rPr>
                <w:sz w:val="22"/>
                <w:szCs w:val="22"/>
                <w:lang w:val="bg-BG"/>
              </w:rPr>
            </w:pPr>
          </w:p>
        </w:tc>
        <w:tc>
          <w:tcPr>
            <w:tcW w:w="2459" w:type="dxa"/>
          </w:tcPr>
          <w:p w:rsidR="000D6D32" w:rsidRPr="00487A9D" w:rsidRDefault="000D6D32" w:rsidP="000D6D32">
            <w:pPr>
              <w:jc w:val="both"/>
              <w:rPr>
                <w:sz w:val="22"/>
                <w:szCs w:val="22"/>
                <w:lang w:val="bg-BG"/>
              </w:rPr>
            </w:pPr>
            <w:r>
              <w:rPr>
                <w:sz w:val="22"/>
                <w:szCs w:val="22"/>
                <w:lang w:val="bg-BG"/>
              </w:rPr>
              <w:lastRenderedPageBreak/>
              <w:t>Приемат се по принцип</w:t>
            </w:r>
          </w:p>
        </w:tc>
        <w:tc>
          <w:tcPr>
            <w:tcW w:w="4762" w:type="dxa"/>
          </w:tcPr>
          <w:p w:rsidR="000D6D32" w:rsidRPr="00FB0DEF" w:rsidRDefault="000D6D32" w:rsidP="000D6D32">
            <w:pPr>
              <w:spacing w:before="120" w:after="120"/>
              <w:jc w:val="both"/>
              <w:rPr>
                <w:sz w:val="22"/>
                <w:szCs w:val="22"/>
                <w:lang w:val="bg-BG"/>
              </w:rPr>
            </w:pPr>
            <w:r w:rsidRPr="00FB0DEF">
              <w:rPr>
                <w:sz w:val="22"/>
                <w:szCs w:val="22"/>
                <w:lang w:val="bg-BG"/>
              </w:rPr>
              <w:t>Комисията приема бележките и предложението на МФ</w:t>
            </w:r>
            <w:r w:rsidR="00C73FB6">
              <w:rPr>
                <w:sz w:val="22"/>
                <w:szCs w:val="22"/>
                <w:lang w:val="bg-BG"/>
              </w:rPr>
              <w:t>,</w:t>
            </w:r>
            <w:r w:rsidRPr="00FB0DEF">
              <w:rPr>
                <w:sz w:val="22"/>
                <w:szCs w:val="22"/>
                <w:lang w:val="bg-BG"/>
              </w:rPr>
              <w:t xml:space="preserve"> като </w:t>
            </w:r>
            <w:r w:rsidR="00C73FB6">
              <w:rPr>
                <w:sz w:val="22"/>
                <w:szCs w:val="22"/>
                <w:lang w:val="bg-BG"/>
              </w:rPr>
              <w:t xml:space="preserve">се </w:t>
            </w:r>
            <w:r w:rsidRPr="00FB0DEF">
              <w:rPr>
                <w:sz w:val="22"/>
                <w:szCs w:val="22"/>
                <w:lang w:val="bg-BG"/>
              </w:rPr>
              <w:t xml:space="preserve">изготви </w:t>
            </w:r>
            <w:r w:rsidR="00E661D9">
              <w:rPr>
                <w:sz w:val="22"/>
                <w:szCs w:val="22"/>
                <w:lang w:val="bg-BG"/>
              </w:rPr>
              <w:t>изменен и допълнен</w:t>
            </w:r>
            <w:r w:rsidRPr="00FB0DEF">
              <w:rPr>
                <w:sz w:val="22"/>
                <w:szCs w:val="22"/>
                <w:lang w:val="bg-BG"/>
              </w:rPr>
              <w:t xml:space="preserve"> проект на Правилата, които са в съответствие с направените бележки и предложените изменения. </w:t>
            </w:r>
            <w:r w:rsidR="00242BE3">
              <w:rPr>
                <w:sz w:val="22"/>
                <w:szCs w:val="22"/>
                <w:lang w:val="bg-BG"/>
              </w:rPr>
              <w:t xml:space="preserve">Новият проект на правила </w:t>
            </w:r>
            <w:r w:rsidRPr="00FB0DEF">
              <w:rPr>
                <w:sz w:val="22"/>
                <w:szCs w:val="22"/>
                <w:lang w:val="bg-BG"/>
              </w:rPr>
              <w:t>ще бъде публикуван на страницата на КРС в интернет и на Портала за обществени консултации за</w:t>
            </w:r>
            <w:r w:rsidR="00CD3805">
              <w:rPr>
                <w:sz w:val="22"/>
                <w:szCs w:val="22"/>
                <w:lang w:val="bg-BG"/>
              </w:rPr>
              <w:t xml:space="preserve"> </w:t>
            </w:r>
            <w:r w:rsidR="00242BE3">
              <w:rPr>
                <w:sz w:val="22"/>
                <w:szCs w:val="22"/>
                <w:lang w:val="bg-BG"/>
              </w:rPr>
              <w:t>ново обществено обсъждане.</w:t>
            </w:r>
          </w:p>
          <w:p w:rsidR="000D6D32" w:rsidRPr="00FB0DEF" w:rsidRDefault="000D6D32" w:rsidP="000D6D32">
            <w:pPr>
              <w:spacing w:before="120" w:after="120"/>
              <w:jc w:val="both"/>
              <w:rPr>
                <w:sz w:val="22"/>
                <w:szCs w:val="22"/>
                <w:lang w:val="bg-BG"/>
              </w:rPr>
            </w:pPr>
            <w:r w:rsidRPr="00FB0DEF">
              <w:rPr>
                <w:sz w:val="22"/>
                <w:szCs w:val="22"/>
                <w:lang w:val="bg-BG"/>
              </w:rPr>
              <w:lastRenderedPageBreak/>
              <w:t>Също така е въведен нов чл. 4, в който са посочени стъпките за изчисляване на нетните разходи с и без задължение за предоставяне на универсалната услуга</w:t>
            </w:r>
            <w:r w:rsidR="00E661D9">
              <w:rPr>
                <w:sz w:val="22"/>
                <w:szCs w:val="22"/>
                <w:lang w:val="bg-BG"/>
              </w:rPr>
              <w:t>, както следва</w:t>
            </w:r>
            <w:r w:rsidRPr="00FB0DEF">
              <w:rPr>
                <w:sz w:val="22"/>
                <w:szCs w:val="22"/>
                <w:lang w:val="bg-BG"/>
              </w:rPr>
              <w:t>:</w:t>
            </w:r>
          </w:p>
          <w:p w:rsidR="000D6D32" w:rsidRPr="00FB0DEF" w:rsidRDefault="000D6D32" w:rsidP="000D6D32">
            <w:pPr>
              <w:spacing w:before="120" w:after="120"/>
              <w:jc w:val="both"/>
              <w:rPr>
                <w:sz w:val="22"/>
                <w:szCs w:val="22"/>
                <w:lang w:val="bg-BG"/>
              </w:rPr>
            </w:pPr>
            <w:r w:rsidRPr="00FB0DEF">
              <w:rPr>
                <w:sz w:val="22"/>
                <w:szCs w:val="22"/>
                <w:lang w:val="bg-BG"/>
              </w:rPr>
              <w:t>Стъпка 1 изчисляване на приходи и разходи на задължените предприятия при извършване на дейността им с възложени задължения във връзка с предоставянето на универсалната услуга;</w:t>
            </w:r>
          </w:p>
          <w:p w:rsidR="000D6D32" w:rsidRPr="00FB0DEF" w:rsidRDefault="000D6D32" w:rsidP="000D6D32">
            <w:pPr>
              <w:spacing w:before="120" w:after="120"/>
              <w:jc w:val="both"/>
              <w:rPr>
                <w:sz w:val="22"/>
                <w:szCs w:val="22"/>
                <w:lang w:val="bg-BG"/>
              </w:rPr>
            </w:pPr>
            <w:r w:rsidRPr="00FB0DEF">
              <w:rPr>
                <w:sz w:val="22"/>
                <w:szCs w:val="22"/>
                <w:lang w:val="bg-BG"/>
              </w:rPr>
              <w:t xml:space="preserve">Стъпка 2 изчисляване на приходи и разходи, които биха възникнали за задължените предприятия при извършване на дейността им без възложени задължения във връзка с предоставянето на универсалната услуга; </w:t>
            </w:r>
          </w:p>
          <w:p w:rsidR="000D6D32" w:rsidRPr="00FB0DEF" w:rsidRDefault="000D6D32" w:rsidP="000D6D32">
            <w:pPr>
              <w:spacing w:before="120" w:after="120"/>
              <w:jc w:val="both"/>
              <w:rPr>
                <w:sz w:val="22"/>
                <w:szCs w:val="22"/>
                <w:lang w:val="bg-BG"/>
              </w:rPr>
            </w:pPr>
            <w:r w:rsidRPr="00FB0DEF">
              <w:rPr>
                <w:sz w:val="22"/>
                <w:szCs w:val="22"/>
                <w:lang w:val="bg-BG"/>
              </w:rPr>
              <w:t>Стъпка 3 изчисляване на размера на нетните разходи от предоставяне на универсалната услуга;</w:t>
            </w:r>
          </w:p>
          <w:p w:rsidR="000D6D32" w:rsidRPr="00FB0DEF" w:rsidRDefault="000D6D32" w:rsidP="000D6D32">
            <w:pPr>
              <w:spacing w:before="120" w:after="120"/>
              <w:jc w:val="both"/>
              <w:rPr>
                <w:sz w:val="22"/>
                <w:szCs w:val="22"/>
                <w:lang w:val="bg-BG"/>
              </w:rPr>
            </w:pPr>
            <w:r w:rsidRPr="00FB0DEF">
              <w:rPr>
                <w:sz w:val="22"/>
                <w:szCs w:val="22"/>
                <w:lang w:val="bg-BG"/>
              </w:rPr>
              <w:t>Стъпка 4 коригиране на размера на нетните разходи от задължението за предоставяне на универсалната услуга с паричния еквивалент на нематериалните преимущества.</w:t>
            </w:r>
          </w:p>
          <w:p w:rsidR="000D6D32" w:rsidRDefault="000D6D32" w:rsidP="000D6D32">
            <w:pPr>
              <w:spacing w:before="120" w:after="120"/>
              <w:jc w:val="both"/>
              <w:rPr>
                <w:sz w:val="22"/>
                <w:szCs w:val="22"/>
                <w:lang w:val="bg-BG"/>
              </w:rPr>
            </w:pPr>
            <w:r w:rsidRPr="00FB0DEF">
              <w:rPr>
                <w:sz w:val="22"/>
                <w:szCs w:val="22"/>
                <w:lang w:val="bg-BG"/>
              </w:rPr>
              <w:t>Съответно члено</w:t>
            </w:r>
            <w:r>
              <w:rPr>
                <w:sz w:val="22"/>
                <w:szCs w:val="22"/>
                <w:lang w:val="bg-BG"/>
              </w:rPr>
              <w:t>ве 5-8 от Правилата са изменени</w:t>
            </w:r>
            <w:r w:rsidRPr="00FB0DEF">
              <w:rPr>
                <w:sz w:val="22"/>
                <w:szCs w:val="22"/>
                <w:lang w:val="bg-BG"/>
              </w:rPr>
              <w:t xml:space="preserve"> в съответствие с препоръката</w:t>
            </w:r>
            <w:r>
              <w:rPr>
                <w:sz w:val="22"/>
                <w:szCs w:val="22"/>
                <w:lang w:val="bg-BG"/>
              </w:rPr>
              <w:t xml:space="preserve"> на Министерството</w:t>
            </w:r>
            <w:r w:rsidRPr="00FB0DEF">
              <w:rPr>
                <w:sz w:val="22"/>
                <w:szCs w:val="22"/>
                <w:lang w:val="bg-BG"/>
              </w:rPr>
              <w:t>.</w:t>
            </w:r>
          </w:p>
          <w:p w:rsidR="000D6D32" w:rsidRPr="00B77C02" w:rsidRDefault="000D6D32" w:rsidP="000D6D32">
            <w:pPr>
              <w:spacing w:before="120" w:after="120"/>
              <w:jc w:val="both"/>
              <w:rPr>
                <w:sz w:val="22"/>
                <w:szCs w:val="22"/>
                <w:lang w:val="en-US"/>
              </w:rPr>
            </w:pPr>
            <w:r>
              <w:rPr>
                <w:sz w:val="22"/>
                <w:szCs w:val="22"/>
                <w:lang w:val="bg-BG"/>
              </w:rPr>
              <w:t xml:space="preserve">Въведени са формули за изчисляване на всяка от услугите от обхвата на задължението за предоставяне на универсална услуга. </w:t>
            </w:r>
          </w:p>
        </w:tc>
      </w:tr>
      <w:tr w:rsidR="000D6D32" w:rsidTr="008D2D76">
        <w:tc>
          <w:tcPr>
            <w:tcW w:w="2552" w:type="dxa"/>
          </w:tcPr>
          <w:p w:rsidR="000D6D32" w:rsidRPr="000074FD" w:rsidRDefault="000D6D32" w:rsidP="000D6D32">
            <w:pPr>
              <w:rPr>
                <w:b/>
                <w:lang w:val="bg-BG"/>
              </w:rPr>
            </w:pPr>
            <w:r w:rsidRPr="000074FD">
              <w:rPr>
                <w:b/>
                <w:lang w:val="bg-BG"/>
              </w:rPr>
              <w:lastRenderedPageBreak/>
              <w:t>Министерство на финансите</w:t>
            </w:r>
          </w:p>
        </w:tc>
        <w:tc>
          <w:tcPr>
            <w:tcW w:w="4267" w:type="dxa"/>
          </w:tcPr>
          <w:p w:rsidR="000D6D32" w:rsidRPr="008869A5" w:rsidRDefault="000D6D32" w:rsidP="000D6D32">
            <w:pPr>
              <w:jc w:val="both"/>
              <w:rPr>
                <w:sz w:val="22"/>
                <w:szCs w:val="22"/>
              </w:rPr>
            </w:pPr>
            <w:r w:rsidRPr="008869A5">
              <w:rPr>
                <w:sz w:val="22"/>
                <w:szCs w:val="22"/>
                <w:lang w:val="bg-BG"/>
              </w:rPr>
              <w:t>МФ предлага в проекта на Правила да бъде посочено как нетните разходи от задължението за предоставяне на универсална услуга ще бъдат коригирани с паричната оценка на нематериалните преимущества с прецизиране на чл. 3 от проекта на Правила или с въвеждане на формула за изчисляване на нетните разходи, от която да е видно как стойността се отразява на размера на компенсацията на нетните разходи.</w:t>
            </w:r>
          </w:p>
        </w:tc>
        <w:tc>
          <w:tcPr>
            <w:tcW w:w="2459" w:type="dxa"/>
          </w:tcPr>
          <w:p w:rsidR="000D6D32" w:rsidRPr="008D2D76" w:rsidRDefault="00C73FB6" w:rsidP="000D6D32">
            <w:pPr>
              <w:jc w:val="both"/>
              <w:rPr>
                <w:sz w:val="22"/>
                <w:szCs w:val="22"/>
                <w:lang w:val="bg-BG"/>
              </w:rPr>
            </w:pPr>
            <w:r>
              <w:rPr>
                <w:sz w:val="22"/>
                <w:szCs w:val="22"/>
                <w:lang w:val="bg-BG"/>
              </w:rPr>
              <w:t>Приема се по принцип</w:t>
            </w:r>
          </w:p>
        </w:tc>
        <w:tc>
          <w:tcPr>
            <w:tcW w:w="4762" w:type="dxa"/>
          </w:tcPr>
          <w:p w:rsidR="00C73FB6" w:rsidRDefault="000D6D32" w:rsidP="000D6D32">
            <w:pPr>
              <w:spacing w:before="120" w:after="120"/>
              <w:jc w:val="both"/>
              <w:rPr>
                <w:sz w:val="22"/>
                <w:szCs w:val="22"/>
                <w:lang w:val="bg-BG"/>
              </w:rPr>
            </w:pPr>
            <w:r w:rsidRPr="000074FD">
              <w:rPr>
                <w:sz w:val="22"/>
                <w:szCs w:val="22"/>
                <w:lang w:val="bg-BG"/>
              </w:rPr>
              <w:t>Комисията приема предложението и прецизира чл. 3 по следния начи</w:t>
            </w:r>
            <w:r>
              <w:rPr>
                <w:sz w:val="22"/>
                <w:szCs w:val="22"/>
                <w:lang w:val="bg-BG"/>
              </w:rPr>
              <w:t>н</w:t>
            </w:r>
            <w:r w:rsidR="00C73FB6">
              <w:rPr>
                <w:sz w:val="22"/>
                <w:szCs w:val="22"/>
                <w:lang w:val="bg-BG"/>
              </w:rPr>
              <w:t>:</w:t>
            </w:r>
          </w:p>
          <w:p w:rsidR="000D6D32" w:rsidRPr="000074FD" w:rsidRDefault="000D6D32" w:rsidP="000D6D32">
            <w:pPr>
              <w:spacing w:before="120" w:after="120"/>
              <w:jc w:val="both"/>
              <w:rPr>
                <w:bCs/>
                <w:sz w:val="22"/>
                <w:szCs w:val="22"/>
                <w:lang w:val="bg-BG"/>
              </w:rPr>
            </w:pPr>
            <w:r>
              <w:rPr>
                <w:sz w:val="22"/>
                <w:szCs w:val="22"/>
                <w:lang w:val="bg-BG"/>
              </w:rPr>
              <w:t xml:space="preserve"> „</w:t>
            </w:r>
            <w:r w:rsidRPr="000074FD">
              <w:rPr>
                <w:bCs/>
                <w:sz w:val="22"/>
                <w:szCs w:val="22"/>
                <w:lang w:val="bg-BG"/>
              </w:rPr>
              <w:t xml:space="preserve">Всяко от задължените предприятия определя нетните разходи от предоставянето на всяка от услугите, включени в обхвата на универсалната услуга, за период, отнасящ се до предходната календарна година, приключваща на 31 декември. </w:t>
            </w:r>
            <w:r w:rsidRPr="000074FD">
              <w:rPr>
                <w:bCs/>
                <w:sz w:val="22"/>
                <w:szCs w:val="22"/>
                <w:lang w:val="en-US"/>
              </w:rPr>
              <w:t xml:space="preserve"> </w:t>
            </w:r>
            <w:r w:rsidRPr="000074FD">
              <w:rPr>
                <w:bCs/>
                <w:sz w:val="22"/>
                <w:szCs w:val="22"/>
                <w:lang w:val="bg-BG"/>
              </w:rPr>
              <w:t xml:space="preserve">Сумата на нетните разходи се коригира с оценката на нематериалните преимущества в паричен еквивалент от предоставяне на универсалната услуга или на част от нея </w:t>
            </w:r>
            <w:r>
              <w:rPr>
                <w:bCs/>
                <w:sz w:val="22"/>
                <w:szCs w:val="22"/>
                <w:lang w:val="bg-BG"/>
              </w:rPr>
              <w:t>за задължените предприятия“</w:t>
            </w:r>
          </w:p>
          <w:p w:rsidR="000D6D32" w:rsidRPr="00DF28C5" w:rsidRDefault="000D6D32">
            <w:pPr>
              <w:spacing w:before="120" w:after="120"/>
              <w:jc w:val="both"/>
              <w:rPr>
                <w:bCs/>
                <w:sz w:val="22"/>
                <w:szCs w:val="22"/>
                <w:lang w:val="bg-BG"/>
              </w:rPr>
            </w:pPr>
            <w:r>
              <w:rPr>
                <w:bCs/>
                <w:sz w:val="22"/>
                <w:szCs w:val="22"/>
                <w:lang w:val="bg-BG"/>
              </w:rPr>
              <w:t>Също така</w:t>
            </w:r>
            <w:r w:rsidR="00C73FB6">
              <w:rPr>
                <w:bCs/>
                <w:sz w:val="22"/>
                <w:szCs w:val="22"/>
                <w:lang w:val="bg-BG"/>
              </w:rPr>
              <w:t>,</w:t>
            </w:r>
            <w:r>
              <w:rPr>
                <w:bCs/>
                <w:sz w:val="22"/>
                <w:szCs w:val="22"/>
                <w:lang w:val="bg-BG"/>
              </w:rPr>
              <w:t xml:space="preserve"> ч</w:t>
            </w:r>
            <w:r w:rsidRPr="000074FD">
              <w:rPr>
                <w:bCs/>
                <w:sz w:val="22"/>
                <w:szCs w:val="22"/>
                <w:lang w:val="bg-BG"/>
              </w:rPr>
              <w:t xml:space="preserve">л. 3 е допълнен с допускането за отчитане на разумна норма на печалба на </w:t>
            </w:r>
            <w:r w:rsidRPr="000074FD">
              <w:rPr>
                <w:bCs/>
                <w:sz w:val="22"/>
                <w:szCs w:val="22"/>
                <w:lang w:val="bg-BG"/>
              </w:rPr>
              <w:lastRenderedPageBreak/>
              <w:t xml:space="preserve">задължените предприятия е осигурено правото на разумна печалба при спазване на  изискванията по чл. 5 от 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 </w:t>
            </w:r>
            <w:r w:rsidR="00E661D9">
              <w:rPr>
                <w:bCs/>
                <w:sz w:val="22"/>
                <w:szCs w:val="22"/>
                <w:lang w:val="bg-BG"/>
              </w:rPr>
              <w:t>Включен е текст, че и</w:t>
            </w:r>
            <w:r w:rsidRPr="000074FD">
              <w:rPr>
                <w:bCs/>
                <w:sz w:val="22"/>
                <w:szCs w:val="22"/>
                <w:lang w:val="bg-BG"/>
              </w:rPr>
              <w:t xml:space="preserve">зчисляването на нетните разходи за всяка от услугите по чл. 2 се извършва поотделно и по начин, при който се избягва двойното отчитане на каквито и да било разходи и преки или косвени ползи. </w:t>
            </w:r>
            <w:r w:rsidR="00E661D9">
              <w:rPr>
                <w:bCs/>
                <w:sz w:val="22"/>
                <w:szCs w:val="22"/>
                <w:lang w:val="bg-BG"/>
              </w:rPr>
              <w:t xml:space="preserve">Посочено е, че </w:t>
            </w:r>
            <w:r w:rsidR="00E661D9">
              <w:rPr>
                <w:sz w:val="22"/>
                <w:szCs w:val="22"/>
                <w:lang w:val="bg-BG"/>
              </w:rPr>
              <w:t>з</w:t>
            </w:r>
            <w:r w:rsidRPr="000074FD">
              <w:rPr>
                <w:sz w:val="22"/>
                <w:szCs w:val="22"/>
                <w:lang w:val="bg-BG"/>
              </w:rPr>
              <w:t>адължените предприятия използват едни и същи компоненти както за описание на дейността си с възложени задължения във връзка с предоставянето на универсалната услуга, така и за описание на дейността си</w:t>
            </w:r>
            <w:r w:rsidR="00E661D9">
              <w:rPr>
                <w:sz w:val="22"/>
                <w:szCs w:val="22"/>
                <w:lang w:val="bg-BG"/>
              </w:rPr>
              <w:t>,</w:t>
            </w:r>
            <w:r w:rsidRPr="000074FD">
              <w:rPr>
                <w:sz w:val="22"/>
                <w:szCs w:val="22"/>
                <w:lang w:val="bg-BG"/>
              </w:rPr>
              <w:t xml:space="preserve"> в случай че нямат възложени задължения във връзка с предоставянето на универсалната услуга.</w:t>
            </w:r>
          </w:p>
        </w:tc>
      </w:tr>
      <w:tr w:rsidR="000D6D32" w:rsidTr="008D2D76">
        <w:tc>
          <w:tcPr>
            <w:tcW w:w="2552" w:type="dxa"/>
          </w:tcPr>
          <w:p w:rsidR="000D6D32" w:rsidRPr="00F01C5F" w:rsidRDefault="000D6D32" w:rsidP="000D6D32">
            <w:pPr>
              <w:rPr>
                <w:b/>
                <w:lang w:val="bg-BG"/>
              </w:rPr>
            </w:pPr>
            <w:bookmarkStart w:id="0" w:name="_GoBack"/>
            <w:r w:rsidRPr="00F01C5F">
              <w:rPr>
                <w:b/>
                <w:lang w:val="bg-BG"/>
              </w:rPr>
              <w:lastRenderedPageBreak/>
              <w:t>Българска народна банка (БНБ)</w:t>
            </w:r>
            <w:bookmarkEnd w:id="0"/>
          </w:p>
        </w:tc>
        <w:tc>
          <w:tcPr>
            <w:tcW w:w="4267" w:type="dxa"/>
          </w:tcPr>
          <w:p w:rsidR="000D6D32" w:rsidRPr="008869A5" w:rsidRDefault="000D6D32" w:rsidP="000D6D32">
            <w:pPr>
              <w:jc w:val="both"/>
              <w:rPr>
                <w:sz w:val="22"/>
                <w:szCs w:val="22"/>
                <w:lang w:val="bg-BG"/>
              </w:rPr>
            </w:pPr>
            <w:r w:rsidRPr="008869A5">
              <w:rPr>
                <w:sz w:val="22"/>
                <w:szCs w:val="22"/>
                <w:lang w:val="bg-BG"/>
              </w:rPr>
              <w:t xml:space="preserve">БНБ посочва в становището си, че не е ясна методиката, по която се извършва паричната оценка на нематериалните преимущества, като е необходимо прецизиране на текста на чл. 8. БНБ счита, че подобна неяснота би могла да създаде риск от разностранно прилагане на разглежданите разпоредби. </w:t>
            </w:r>
          </w:p>
          <w:p w:rsidR="000D6D32" w:rsidRPr="008869A5" w:rsidRDefault="000D6D32" w:rsidP="000D6D32">
            <w:pPr>
              <w:rPr>
                <w:sz w:val="22"/>
                <w:szCs w:val="22"/>
              </w:rPr>
            </w:pPr>
          </w:p>
        </w:tc>
        <w:tc>
          <w:tcPr>
            <w:tcW w:w="2459" w:type="dxa"/>
          </w:tcPr>
          <w:p w:rsidR="000D6D32" w:rsidRPr="007A65F5" w:rsidRDefault="000D6D32" w:rsidP="000D6D32">
            <w:pPr>
              <w:rPr>
                <w:lang w:val="bg-BG"/>
              </w:rPr>
            </w:pPr>
            <w:r>
              <w:rPr>
                <w:lang w:val="bg-BG"/>
              </w:rPr>
              <w:t>Приема се</w:t>
            </w:r>
          </w:p>
        </w:tc>
        <w:tc>
          <w:tcPr>
            <w:tcW w:w="4762" w:type="dxa"/>
          </w:tcPr>
          <w:p w:rsidR="000D6D32" w:rsidRDefault="000D6D32" w:rsidP="000D6D32">
            <w:pPr>
              <w:jc w:val="both"/>
              <w:rPr>
                <w:bCs/>
                <w:iCs/>
                <w:sz w:val="22"/>
                <w:szCs w:val="22"/>
                <w:lang w:val="bg-BG"/>
              </w:rPr>
            </w:pPr>
            <w:r>
              <w:rPr>
                <w:bCs/>
                <w:iCs/>
                <w:sz w:val="22"/>
                <w:szCs w:val="22"/>
                <w:lang w:val="bg-BG"/>
              </w:rPr>
              <w:t xml:space="preserve">В </w:t>
            </w:r>
            <w:r w:rsidR="00F545DD">
              <w:rPr>
                <w:bCs/>
                <w:iCs/>
                <w:sz w:val="22"/>
                <w:szCs w:val="22"/>
                <w:lang w:val="bg-BG"/>
              </w:rPr>
              <w:t>П</w:t>
            </w:r>
            <w:r>
              <w:rPr>
                <w:bCs/>
                <w:iCs/>
                <w:sz w:val="22"/>
                <w:szCs w:val="22"/>
                <w:lang w:val="bg-BG"/>
              </w:rPr>
              <w:t xml:space="preserve">равилата в Раздел III </w:t>
            </w:r>
            <w:r w:rsidR="00C73FB6">
              <w:rPr>
                <w:bCs/>
                <w:iCs/>
                <w:sz w:val="22"/>
                <w:szCs w:val="22"/>
                <w:lang w:val="bg-BG"/>
              </w:rPr>
              <w:t>„</w:t>
            </w:r>
            <w:r w:rsidRPr="00262354">
              <w:rPr>
                <w:bCs/>
                <w:iCs/>
                <w:sz w:val="22"/>
                <w:szCs w:val="22"/>
                <w:lang w:val="bg-BG"/>
              </w:rPr>
              <w:t>Коригиране на размера на</w:t>
            </w:r>
            <w:r>
              <w:rPr>
                <w:bCs/>
                <w:iCs/>
                <w:sz w:val="22"/>
                <w:szCs w:val="22"/>
                <w:lang w:val="bg-BG"/>
              </w:rPr>
              <w:t xml:space="preserve"> нетните разходи с нематериални </w:t>
            </w:r>
            <w:r w:rsidRPr="00262354">
              <w:rPr>
                <w:bCs/>
                <w:iCs/>
                <w:sz w:val="22"/>
                <w:szCs w:val="22"/>
                <w:lang w:val="bg-BG"/>
              </w:rPr>
              <w:t>преимущества</w:t>
            </w:r>
            <w:r w:rsidR="00C73FB6">
              <w:rPr>
                <w:bCs/>
                <w:iCs/>
                <w:sz w:val="22"/>
                <w:szCs w:val="22"/>
                <w:lang w:val="bg-BG"/>
              </w:rPr>
              <w:t>“</w:t>
            </w:r>
            <w:r>
              <w:rPr>
                <w:bCs/>
                <w:iCs/>
                <w:sz w:val="22"/>
                <w:szCs w:val="22"/>
                <w:lang w:val="bg-BG"/>
              </w:rPr>
              <w:t xml:space="preserve"> е </w:t>
            </w:r>
            <w:r w:rsidR="00C73FB6">
              <w:rPr>
                <w:bCs/>
                <w:iCs/>
                <w:sz w:val="22"/>
                <w:szCs w:val="22"/>
                <w:lang w:val="bg-BG"/>
              </w:rPr>
              <w:t xml:space="preserve">създадена </w:t>
            </w:r>
            <w:r>
              <w:rPr>
                <w:bCs/>
                <w:iCs/>
                <w:sz w:val="22"/>
                <w:szCs w:val="22"/>
                <w:lang w:val="bg-BG"/>
              </w:rPr>
              <w:t>нова алинея</w:t>
            </w:r>
            <w:r w:rsidR="00C73FB6">
              <w:rPr>
                <w:bCs/>
                <w:iCs/>
                <w:sz w:val="22"/>
                <w:szCs w:val="22"/>
                <w:lang w:val="bg-BG"/>
              </w:rPr>
              <w:t xml:space="preserve"> 3 на чл. 10</w:t>
            </w:r>
            <w:r>
              <w:rPr>
                <w:bCs/>
                <w:iCs/>
                <w:sz w:val="22"/>
                <w:szCs w:val="22"/>
                <w:lang w:val="bg-BG"/>
              </w:rPr>
              <w:t xml:space="preserve"> с математическа формула</w:t>
            </w:r>
            <w:r w:rsidR="00F545DD">
              <w:rPr>
                <w:bCs/>
                <w:iCs/>
                <w:sz w:val="22"/>
                <w:szCs w:val="22"/>
                <w:lang w:val="bg-BG"/>
              </w:rPr>
              <w:t>, както следва</w:t>
            </w:r>
            <w:r>
              <w:rPr>
                <w:bCs/>
                <w:iCs/>
                <w:sz w:val="22"/>
                <w:szCs w:val="22"/>
                <w:lang w:val="bg-BG"/>
              </w:rPr>
              <w:t>:</w:t>
            </w:r>
          </w:p>
          <w:p w:rsidR="000D6D32" w:rsidRDefault="000D6D32" w:rsidP="000D6D32">
            <w:pPr>
              <w:tabs>
                <w:tab w:val="left" w:pos="284"/>
              </w:tabs>
              <w:spacing w:before="120" w:after="120"/>
              <w:jc w:val="both"/>
              <w:rPr>
                <w:bCs/>
                <w:lang w:val="bg-BG"/>
              </w:rPr>
            </w:pPr>
            <w:r>
              <w:rPr>
                <w:bCs/>
                <w:lang w:val="bg-BG"/>
              </w:rPr>
              <w:t xml:space="preserve">Общата стойност на нематериалните преимущества се изчислява като сбор от паричния еквивалент на всеки показател: </w:t>
            </w:r>
          </w:p>
          <w:p w:rsidR="000D6D32" w:rsidRDefault="000D6D32" w:rsidP="000D6D32">
            <w:pPr>
              <w:tabs>
                <w:tab w:val="left" w:pos="284"/>
              </w:tabs>
              <w:spacing w:before="120" w:after="120"/>
              <w:jc w:val="both"/>
              <w:rPr>
                <w:bCs/>
                <w:lang w:val="bg-BG"/>
              </w:rPr>
            </w:pPr>
            <w:proofErr w:type="spellStart"/>
            <w:r>
              <w:rPr>
                <w:bCs/>
                <w:lang w:val="bg-BG"/>
              </w:rPr>
              <w:t>ОСНМПyy</w:t>
            </w:r>
            <w:proofErr w:type="spellEnd"/>
            <w:r>
              <w:rPr>
                <w:bCs/>
                <w:lang w:val="bg-BG"/>
              </w:rPr>
              <w:t xml:space="preserve"> =∑ (</w:t>
            </w:r>
            <w:proofErr w:type="spellStart"/>
            <w:r>
              <w:rPr>
                <w:bCs/>
                <w:lang w:val="bg-BG"/>
              </w:rPr>
              <w:t>НМПn</w:t>
            </w:r>
            <w:proofErr w:type="spellEnd"/>
            <w:r>
              <w:rPr>
                <w:bCs/>
                <w:lang w:val="bg-BG"/>
              </w:rPr>
              <w:t xml:space="preserve"> </w:t>
            </w:r>
            <w:r w:rsidRPr="009878CC">
              <w:rPr>
                <w:bCs/>
                <w:sz w:val="16"/>
                <w:lang w:val="bg-BG"/>
              </w:rPr>
              <w:t>Х</w:t>
            </w:r>
            <w:r>
              <w:rPr>
                <w:bCs/>
                <w:lang w:val="bg-BG"/>
              </w:rPr>
              <w:t xml:space="preserve"> </w:t>
            </w:r>
            <w:r>
              <w:rPr>
                <w:bCs/>
                <w:lang w:val="en-US"/>
              </w:rPr>
              <w:t>d</w:t>
            </w:r>
            <w:r>
              <w:rPr>
                <w:bCs/>
                <w:lang w:val="bg-BG"/>
              </w:rPr>
              <w:t>), където:</w:t>
            </w:r>
          </w:p>
          <w:p w:rsidR="000D6D32" w:rsidRDefault="000D6D32" w:rsidP="000D6D32">
            <w:pPr>
              <w:tabs>
                <w:tab w:val="left" w:pos="284"/>
              </w:tabs>
              <w:spacing w:before="120" w:after="120"/>
              <w:jc w:val="both"/>
              <w:rPr>
                <w:bCs/>
                <w:lang w:val="bg-BG"/>
              </w:rPr>
            </w:pPr>
            <w:proofErr w:type="spellStart"/>
            <w:r>
              <w:rPr>
                <w:bCs/>
                <w:lang w:val="bg-BG"/>
              </w:rPr>
              <w:t>ОСНМПyy</w:t>
            </w:r>
            <w:proofErr w:type="spellEnd"/>
            <w:r>
              <w:rPr>
                <w:bCs/>
                <w:lang w:val="bg-BG"/>
              </w:rPr>
              <w:t xml:space="preserve"> е общата сума на нематериалните преимущества, </w:t>
            </w:r>
            <w:r>
              <w:rPr>
                <w:bCs/>
                <w:lang w:val="bg-BG"/>
              </w:rPr>
              <w:lastRenderedPageBreak/>
              <w:t xml:space="preserve">произтичащи от предоставянето на универсалната услуга; </w:t>
            </w:r>
          </w:p>
          <w:p w:rsidR="000D6D32" w:rsidRDefault="000D6D32" w:rsidP="000D6D32">
            <w:pPr>
              <w:tabs>
                <w:tab w:val="left" w:pos="284"/>
              </w:tabs>
              <w:spacing w:before="120" w:after="120"/>
              <w:jc w:val="both"/>
              <w:rPr>
                <w:bCs/>
                <w:lang w:val="bg-BG"/>
              </w:rPr>
            </w:pPr>
            <w:r>
              <w:rPr>
                <w:bCs/>
                <w:lang w:val="bg-BG"/>
              </w:rPr>
              <w:t>НМП - нематериални преимущества;</w:t>
            </w:r>
          </w:p>
          <w:p w:rsidR="000D6D32" w:rsidRDefault="000D6D32" w:rsidP="000D6D32">
            <w:pPr>
              <w:tabs>
                <w:tab w:val="left" w:pos="284"/>
              </w:tabs>
              <w:spacing w:before="120" w:after="120"/>
              <w:jc w:val="both"/>
              <w:rPr>
                <w:bCs/>
                <w:lang w:val="bg-BG"/>
              </w:rPr>
            </w:pPr>
            <w:r>
              <w:rPr>
                <w:bCs/>
                <w:lang w:val="en-US"/>
              </w:rPr>
              <w:t>n = {1,2,3</w:t>
            </w:r>
            <w:proofErr w:type="gramStart"/>
            <w:r>
              <w:rPr>
                <w:bCs/>
                <w:lang w:val="en-US"/>
              </w:rPr>
              <w:t>…..</w:t>
            </w:r>
            <w:proofErr w:type="gramEnd"/>
            <w:r w:rsidRPr="002C5C78">
              <w:t xml:space="preserve"> </w:t>
            </w:r>
            <w:r w:rsidRPr="002C5C78">
              <w:rPr>
                <w:bCs/>
                <w:lang w:val="en-US"/>
              </w:rPr>
              <w:t>n</w:t>
            </w:r>
            <w:r>
              <w:rPr>
                <w:bCs/>
                <w:lang w:val="en-US"/>
              </w:rPr>
              <w:t xml:space="preserve">}, </w:t>
            </w:r>
            <w:r>
              <w:rPr>
                <w:bCs/>
                <w:lang w:val="bg-BG"/>
              </w:rPr>
              <w:t xml:space="preserve">като всяка </w:t>
            </w:r>
            <w:r w:rsidRPr="002C5C78">
              <w:rPr>
                <w:bCs/>
                <w:lang w:val="bg-BG"/>
              </w:rPr>
              <w:t>нематериалн</w:t>
            </w:r>
            <w:r>
              <w:rPr>
                <w:bCs/>
                <w:lang w:val="bg-BG"/>
              </w:rPr>
              <w:t>о</w:t>
            </w:r>
            <w:r w:rsidRPr="002C5C78">
              <w:rPr>
                <w:bCs/>
                <w:lang w:val="bg-BG"/>
              </w:rPr>
              <w:t xml:space="preserve"> преимуществ</w:t>
            </w:r>
            <w:r>
              <w:rPr>
                <w:bCs/>
                <w:lang w:val="bg-BG"/>
              </w:rPr>
              <w:t>о</w:t>
            </w:r>
            <w:r w:rsidRPr="002C5C78" w:rsidDel="002C5C78">
              <w:rPr>
                <w:bCs/>
                <w:lang w:val="bg-BG"/>
              </w:rPr>
              <w:t xml:space="preserve"> </w:t>
            </w:r>
            <w:r>
              <w:rPr>
                <w:bCs/>
                <w:lang w:val="bg-BG"/>
              </w:rPr>
              <w:t>отговаря на определен индекс;</w:t>
            </w:r>
          </w:p>
          <w:p w:rsidR="000D6D32" w:rsidRPr="00F00911" w:rsidRDefault="000D6D32" w:rsidP="000D6D32">
            <w:pPr>
              <w:tabs>
                <w:tab w:val="left" w:pos="284"/>
              </w:tabs>
              <w:spacing w:before="120" w:after="120"/>
              <w:jc w:val="both"/>
              <w:rPr>
                <w:bCs/>
                <w:lang w:val="bg-BG"/>
              </w:rPr>
            </w:pPr>
            <w:r>
              <w:rPr>
                <w:bCs/>
                <w:lang w:val="en-US"/>
              </w:rPr>
              <w:t xml:space="preserve">d = {0,1}, </w:t>
            </w:r>
            <w:r>
              <w:rPr>
                <w:bCs/>
                <w:lang w:val="bg-BG"/>
              </w:rPr>
              <w:t xml:space="preserve">като </w:t>
            </w:r>
            <w:r>
              <w:rPr>
                <w:bCs/>
                <w:lang w:val="en-US"/>
              </w:rPr>
              <w:t xml:space="preserve">d=1, </w:t>
            </w:r>
            <w:r>
              <w:rPr>
                <w:bCs/>
                <w:lang w:val="bg-BG"/>
              </w:rPr>
              <w:t xml:space="preserve">ако съответното преимущество произтича от задължението за предоставяне на универсалната услуга и </w:t>
            </w:r>
            <w:r>
              <w:rPr>
                <w:bCs/>
                <w:lang w:val="en-US"/>
              </w:rPr>
              <w:t>d=</w:t>
            </w:r>
            <w:r>
              <w:rPr>
                <w:bCs/>
                <w:lang w:val="bg-BG"/>
              </w:rPr>
              <w:t>0, ако не произтича от това задължение.</w:t>
            </w:r>
          </w:p>
          <w:p w:rsidR="000D6D32" w:rsidRPr="00FE2E41" w:rsidRDefault="000D6D32" w:rsidP="000D6D32">
            <w:pPr>
              <w:jc w:val="both"/>
              <w:rPr>
                <w:bCs/>
                <w:iCs/>
                <w:sz w:val="22"/>
                <w:szCs w:val="22"/>
                <w:lang w:val="bg-BG"/>
              </w:rPr>
            </w:pPr>
          </w:p>
        </w:tc>
      </w:tr>
      <w:tr w:rsidR="000D6D32" w:rsidTr="008D2D76">
        <w:tc>
          <w:tcPr>
            <w:tcW w:w="2552" w:type="dxa"/>
          </w:tcPr>
          <w:p w:rsidR="000D6D32" w:rsidRPr="00C9462B" w:rsidRDefault="000D6D32" w:rsidP="000D6D32">
            <w:pPr>
              <w:rPr>
                <w:b/>
                <w:lang w:val="bg-BG"/>
              </w:rPr>
            </w:pPr>
            <w:r w:rsidRPr="00C9462B">
              <w:rPr>
                <w:b/>
                <w:lang w:val="bg-BG"/>
              </w:rPr>
              <w:lastRenderedPageBreak/>
              <w:t>Министерство на финансите</w:t>
            </w:r>
          </w:p>
        </w:tc>
        <w:tc>
          <w:tcPr>
            <w:tcW w:w="4267" w:type="dxa"/>
          </w:tcPr>
          <w:p w:rsidR="000D6D32" w:rsidRPr="008869A5" w:rsidRDefault="000D6D32" w:rsidP="000D6D32">
            <w:pPr>
              <w:jc w:val="both"/>
              <w:rPr>
                <w:sz w:val="22"/>
                <w:szCs w:val="22"/>
                <w:lang w:val="bg-BG"/>
              </w:rPr>
            </w:pPr>
            <w:r w:rsidRPr="008869A5">
              <w:rPr>
                <w:sz w:val="22"/>
                <w:szCs w:val="22"/>
                <w:lang w:val="bg-BG"/>
              </w:rPr>
              <w:t xml:space="preserve">МФ обръща внимание, че в случай на необходимост от предоставяне на публично финансиране за компенсиране на несправедливата тежест от задължението за предоставяне на универсалната услуга, трябва да се извърши оценка дали финансирането представлява държавна помощ, а това е така, ако са налице всички елементи на държавна помощ съгласно чл. 107, параграф 1 от Договора за функционирането на ЕС. Един от тези елементи е наличието на публичен ресурс. Съгласно Известието на Комисията относно понятието за държавна помощ, посочено в член 107, параграф 1 от Договора за функционирането на Европейския съюз (2016/С 262/01), произходът на ресурсите не е от значение, при условие че преди да бъдат пряко или косвено прехвърлени на бенефициите, те подлежат на публичен контрол и са на разположение на националните органи. Следователно средствата, които са </w:t>
            </w:r>
            <w:r w:rsidRPr="008869A5">
              <w:rPr>
                <w:sz w:val="22"/>
                <w:szCs w:val="22"/>
                <w:lang w:val="bg-BG"/>
              </w:rPr>
              <w:lastRenderedPageBreak/>
              <w:t>финансирани чрез такси или задължителни вноски от частни лица, наложени от държавата и управлявани и разпределяни в съответствие с предписанията на публичното право, предполагат трансфер на държавни ресурси, дори и да не са администрирани от държавните органи.</w:t>
            </w:r>
            <w:r w:rsidRPr="008869A5">
              <w:rPr>
                <w:b/>
                <w:sz w:val="22"/>
                <w:szCs w:val="22"/>
                <w:lang w:val="bg-BG"/>
              </w:rPr>
              <w:t xml:space="preserve"> </w:t>
            </w:r>
            <w:r w:rsidRPr="008869A5">
              <w:rPr>
                <w:sz w:val="22"/>
                <w:szCs w:val="22"/>
                <w:lang w:val="bg-BG"/>
              </w:rPr>
              <w:t xml:space="preserve">Държавна помощ може да бъде изключена, ако доставчикът на универсалната услуга е избран след провеждане на открита, прозрачна, не дискриминационна тръжна процедура в съответствие с т. 89-96 от Известието на Комисията. При липса на такъв търг, считаме, че публичното финансиране следва да се предоставя в съответствие с правилата за услугите от общ икономически интерес. </w:t>
            </w:r>
          </w:p>
          <w:p w:rsidR="000D6D32" w:rsidRPr="008869A5" w:rsidRDefault="000D6D32" w:rsidP="000D6D32">
            <w:pPr>
              <w:rPr>
                <w:sz w:val="22"/>
                <w:szCs w:val="22"/>
              </w:rPr>
            </w:pPr>
          </w:p>
        </w:tc>
        <w:tc>
          <w:tcPr>
            <w:tcW w:w="2459" w:type="dxa"/>
          </w:tcPr>
          <w:p w:rsidR="000D6D32" w:rsidRPr="00123CB6" w:rsidRDefault="000D6D32" w:rsidP="000D6D32">
            <w:pPr>
              <w:rPr>
                <w:lang w:val="bg-BG"/>
              </w:rPr>
            </w:pPr>
            <w:r>
              <w:rPr>
                <w:lang w:val="bg-BG"/>
              </w:rPr>
              <w:lastRenderedPageBreak/>
              <w:t>Приема се</w:t>
            </w:r>
            <w:r w:rsidR="00F545DD">
              <w:rPr>
                <w:lang w:val="bg-BG"/>
              </w:rPr>
              <w:t xml:space="preserve"> по принцип</w:t>
            </w:r>
          </w:p>
        </w:tc>
        <w:tc>
          <w:tcPr>
            <w:tcW w:w="4762" w:type="dxa"/>
          </w:tcPr>
          <w:p w:rsidR="000D6D32" w:rsidRPr="00C9462B" w:rsidRDefault="000D6D32">
            <w:pPr>
              <w:rPr>
                <w:lang w:val="bg-BG"/>
              </w:rPr>
            </w:pPr>
            <w:r>
              <w:rPr>
                <w:lang w:val="bg-BG"/>
              </w:rPr>
              <w:t xml:space="preserve">Правилата са изменени </w:t>
            </w:r>
            <w:r w:rsidR="00F545DD">
              <w:rPr>
                <w:lang w:val="bg-BG"/>
              </w:rPr>
              <w:t xml:space="preserve">и допълнени </w:t>
            </w:r>
            <w:r>
              <w:rPr>
                <w:lang w:val="bg-BG"/>
              </w:rPr>
              <w:t xml:space="preserve">в съответствие с </w:t>
            </w:r>
            <w:r w:rsidR="00022E9C">
              <w:rPr>
                <w:lang w:val="bg-BG"/>
              </w:rPr>
              <w:t xml:space="preserve">бележките и предложенията на Министерството на финансите, с оглед съответствие с </w:t>
            </w:r>
            <w:r w:rsidR="00022E9C" w:rsidRPr="00022E9C">
              <w:rPr>
                <w:lang w:val="bg-BG"/>
              </w:rPr>
              <w:t>Решението на Европейската комисия от 20 декември 2011 г.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 11.1.2012 г.)</w:t>
            </w:r>
            <w:r w:rsidR="00F545DD">
              <w:rPr>
                <w:lang w:val="bg-BG"/>
              </w:rPr>
              <w:t>.</w:t>
            </w:r>
          </w:p>
        </w:tc>
      </w:tr>
      <w:tr w:rsidR="000D6D32" w:rsidTr="008D2D76">
        <w:tc>
          <w:tcPr>
            <w:tcW w:w="2552" w:type="dxa"/>
          </w:tcPr>
          <w:p w:rsidR="000D6D32" w:rsidRPr="00471AB1" w:rsidRDefault="000D6D32" w:rsidP="000D6D32">
            <w:pPr>
              <w:rPr>
                <w:b/>
                <w:lang w:val="en-US"/>
              </w:rPr>
            </w:pPr>
            <w:r w:rsidRPr="008869A5">
              <w:rPr>
                <w:b/>
                <w:lang w:val="bg-BG"/>
              </w:rPr>
              <w:lastRenderedPageBreak/>
              <w:t>Българска телекомуникационна компания</w:t>
            </w:r>
            <w:r w:rsidR="00471AB1">
              <w:rPr>
                <w:b/>
                <w:lang w:val="en-US"/>
              </w:rPr>
              <w:t>,</w:t>
            </w:r>
            <w:r w:rsidR="00016EA0">
              <w:rPr>
                <w:b/>
                <w:lang w:val="en-US"/>
              </w:rPr>
              <w:t xml:space="preserve"> </w:t>
            </w:r>
            <w:r w:rsidR="00016EA0" w:rsidRPr="00016EA0">
              <w:rPr>
                <w:b/>
                <w:lang w:val="bg-BG"/>
              </w:rPr>
              <w:t>(понастоящем „Виваком България“ ЕАД)</w:t>
            </w:r>
          </w:p>
        </w:tc>
        <w:tc>
          <w:tcPr>
            <w:tcW w:w="4267" w:type="dxa"/>
          </w:tcPr>
          <w:p w:rsidR="000D6D32" w:rsidRPr="008869A5" w:rsidRDefault="000D6D32" w:rsidP="000D6D32">
            <w:pPr>
              <w:spacing w:after="160" w:line="259" w:lineRule="auto"/>
              <w:jc w:val="both"/>
              <w:rPr>
                <w:rFonts w:eastAsiaTheme="minorHAnsi"/>
                <w:sz w:val="22"/>
                <w:szCs w:val="22"/>
                <w:lang w:val="bg-BG"/>
              </w:rPr>
            </w:pPr>
            <w:r w:rsidRPr="008869A5">
              <w:rPr>
                <w:rFonts w:eastAsiaTheme="minorHAnsi"/>
                <w:sz w:val="22"/>
                <w:szCs w:val="22"/>
                <w:lang w:val="bg-BG"/>
              </w:rPr>
              <w:t>БТК предлага следната редакция на чл. 4 и чл. 5 от Проекта: “’Чл. 4. Нетните разходи за услуги за гласови съобщения чрез свързване в определено местоположение към обществена електронна съобщителна мрежа независимо от използваната технология, по чл. 2, ал. 1, т.1, се изчисляват като разлика между: 1. Сумата на приходите от инсталационни такси за осъществените свързвания в определено местоположение към обществена електронна съобщителна мрежа, въз основа на обосновани искания от крайни потребители като част от универсалната услуга, заедно със сумата на приходите от месечни такси за тези</w:t>
            </w:r>
            <w:r>
              <w:rPr>
                <w:rFonts w:eastAsiaTheme="minorHAnsi"/>
                <w:sz w:val="22"/>
                <w:szCs w:val="22"/>
                <w:lang w:val="bg-BG"/>
              </w:rPr>
              <w:t xml:space="preserve"> </w:t>
            </w:r>
            <w:r w:rsidRPr="008869A5">
              <w:rPr>
                <w:rFonts w:eastAsiaTheme="minorHAnsi"/>
                <w:sz w:val="22"/>
                <w:szCs w:val="22"/>
                <w:lang w:val="bg-BG"/>
              </w:rPr>
              <w:t xml:space="preserve">свързвания и 2. Сумата на приходите от инсталационни </w:t>
            </w:r>
            <w:r w:rsidRPr="008869A5">
              <w:rPr>
                <w:rFonts w:eastAsiaTheme="minorHAnsi"/>
                <w:sz w:val="22"/>
                <w:szCs w:val="22"/>
                <w:lang w:val="bg-BG"/>
              </w:rPr>
              <w:lastRenderedPageBreak/>
              <w:t xml:space="preserve">такси за, отнасящи се до броя на осъществените свързвания по т.1, заедно със сумата на приходите от месечни такси за тези свързвания, когато те не са част от универсалната услуга. </w:t>
            </w:r>
          </w:p>
          <w:p w:rsidR="000D6D32" w:rsidRDefault="000D6D32" w:rsidP="000D6D32">
            <w:pPr>
              <w:jc w:val="both"/>
              <w:rPr>
                <w:rFonts w:eastAsiaTheme="minorHAnsi"/>
                <w:sz w:val="22"/>
                <w:szCs w:val="22"/>
                <w:lang w:val="bg-BG"/>
              </w:rPr>
            </w:pPr>
            <w:r w:rsidRPr="008869A5">
              <w:rPr>
                <w:rFonts w:eastAsiaTheme="minorHAnsi"/>
                <w:sz w:val="22"/>
                <w:szCs w:val="22"/>
                <w:lang w:val="bg-BG"/>
              </w:rPr>
              <w:t>Чл. 5. Нетните разходи за свързване и осигуряване на подходящ широколентов достъп до интернет в определено местоположение, съгласно чл.</w:t>
            </w:r>
            <w:r w:rsidR="008F3E21">
              <w:rPr>
                <w:rFonts w:eastAsiaTheme="minorHAnsi"/>
                <w:sz w:val="22"/>
                <w:szCs w:val="22"/>
                <w:lang w:val="en-US"/>
              </w:rPr>
              <w:t xml:space="preserve"> </w:t>
            </w:r>
            <w:r w:rsidRPr="008869A5">
              <w:rPr>
                <w:rFonts w:eastAsiaTheme="minorHAnsi"/>
                <w:sz w:val="22"/>
                <w:szCs w:val="22"/>
                <w:lang w:val="bg-BG"/>
              </w:rPr>
              <w:t xml:space="preserve">2, ал.1, т. 2, се изчисляват като разлика между: 1. Сумата на приходите от месечни такси за осъществените свързвания за предоставяне на подходящ широколентов достъп, като част от обхвата на универсалната услуга, и 2. Сумата на приходите от месечни такси за свързванията по т. 1, чрез които се предоставя широколентов достъп до интернет със същите параметри за качество, но извън обхвата на универсалната услуга.” </w:t>
            </w:r>
          </w:p>
          <w:p w:rsidR="000D6D32" w:rsidRPr="001D7A85" w:rsidRDefault="000D6D32" w:rsidP="000D6D32">
            <w:pPr>
              <w:jc w:val="both"/>
              <w:rPr>
                <w:sz w:val="22"/>
                <w:szCs w:val="22"/>
                <w:lang w:val="bg-BG"/>
              </w:rPr>
            </w:pPr>
            <w:r w:rsidRPr="001D7A85">
              <w:rPr>
                <w:sz w:val="22"/>
                <w:szCs w:val="22"/>
                <w:lang w:val="bg-BG"/>
              </w:rPr>
              <w:t>Мотивите на предприятието са редакционни и целят постигане на по-голяма яснота за източниците на приходи, които участват в калкулациите за определяне на нетните разходи от предоставянето на универсална услуга.</w:t>
            </w:r>
          </w:p>
          <w:p w:rsidR="000D6D32" w:rsidRPr="008869A5" w:rsidRDefault="000D6D32" w:rsidP="000D6D32">
            <w:pPr>
              <w:spacing w:after="160" w:line="259" w:lineRule="auto"/>
              <w:jc w:val="both"/>
              <w:rPr>
                <w:rFonts w:eastAsiaTheme="minorHAnsi"/>
                <w:sz w:val="22"/>
                <w:szCs w:val="22"/>
                <w:lang w:val="bg-BG"/>
              </w:rPr>
            </w:pPr>
          </w:p>
          <w:p w:rsidR="000D6D32" w:rsidRPr="008869A5" w:rsidRDefault="000D6D32" w:rsidP="000D6D32">
            <w:pPr>
              <w:rPr>
                <w:sz w:val="22"/>
                <w:szCs w:val="22"/>
              </w:rPr>
            </w:pPr>
          </w:p>
        </w:tc>
        <w:tc>
          <w:tcPr>
            <w:tcW w:w="2459" w:type="dxa"/>
          </w:tcPr>
          <w:p w:rsidR="000D6D32" w:rsidRPr="008869A5" w:rsidRDefault="00C73FB6" w:rsidP="000D6D32">
            <w:pPr>
              <w:rPr>
                <w:lang w:val="bg-BG"/>
              </w:rPr>
            </w:pPr>
            <w:r>
              <w:rPr>
                <w:lang w:val="bg-BG"/>
              </w:rPr>
              <w:lastRenderedPageBreak/>
              <w:t>Приема се по принцип</w:t>
            </w:r>
          </w:p>
        </w:tc>
        <w:tc>
          <w:tcPr>
            <w:tcW w:w="4762" w:type="dxa"/>
          </w:tcPr>
          <w:p w:rsidR="000D6D32" w:rsidRPr="001D7A85" w:rsidRDefault="000D6D32">
            <w:pPr>
              <w:jc w:val="both"/>
              <w:rPr>
                <w:sz w:val="22"/>
                <w:szCs w:val="22"/>
                <w:lang w:val="bg-BG"/>
              </w:rPr>
            </w:pPr>
            <w:r w:rsidRPr="001D7A85">
              <w:rPr>
                <w:sz w:val="22"/>
                <w:szCs w:val="22"/>
                <w:lang w:val="bg-BG"/>
              </w:rPr>
              <w:t>Правилата са изменени</w:t>
            </w:r>
            <w:r w:rsidR="0055370D">
              <w:rPr>
                <w:sz w:val="22"/>
                <w:szCs w:val="22"/>
                <w:lang w:val="bg-BG"/>
              </w:rPr>
              <w:t xml:space="preserve"> и допълнени. Съответно</w:t>
            </w:r>
            <w:r w:rsidRPr="001D7A85">
              <w:rPr>
                <w:sz w:val="22"/>
                <w:szCs w:val="22"/>
                <w:lang w:val="bg-BG"/>
              </w:rPr>
              <w:t xml:space="preserve"> </w:t>
            </w:r>
            <w:r w:rsidR="0055370D">
              <w:rPr>
                <w:sz w:val="22"/>
                <w:szCs w:val="22"/>
                <w:lang w:val="bg-BG"/>
              </w:rPr>
              <w:t xml:space="preserve">текстовете на </w:t>
            </w:r>
            <w:r w:rsidRPr="001D7A85">
              <w:rPr>
                <w:sz w:val="22"/>
                <w:szCs w:val="22"/>
                <w:lang w:val="bg-BG"/>
              </w:rPr>
              <w:t>новите чл</w:t>
            </w:r>
            <w:r w:rsidR="0055370D">
              <w:rPr>
                <w:sz w:val="22"/>
                <w:szCs w:val="22"/>
                <w:lang w:val="bg-BG"/>
              </w:rPr>
              <w:t>.</w:t>
            </w:r>
            <w:r w:rsidRPr="001D7A85">
              <w:rPr>
                <w:sz w:val="22"/>
                <w:szCs w:val="22"/>
                <w:lang w:val="bg-BG"/>
              </w:rPr>
              <w:t xml:space="preserve"> 5 и </w:t>
            </w:r>
            <w:r w:rsidR="0055370D">
              <w:rPr>
                <w:sz w:val="22"/>
                <w:szCs w:val="22"/>
                <w:lang w:val="bg-BG"/>
              </w:rPr>
              <w:t xml:space="preserve">чл. </w:t>
            </w:r>
            <w:r w:rsidRPr="001D7A85">
              <w:rPr>
                <w:sz w:val="22"/>
                <w:szCs w:val="22"/>
                <w:lang w:val="bg-BG"/>
              </w:rPr>
              <w:t xml:space="preserve">6 от Правилата, отнасящи се до </w:t>
            </w:r>
            <w:r w:rsidR="0055370D">
              <w:rPr>
                <w:sz w:val="22"/>
                <w:szCs w:val="22"/>
                <w:lang w:val="bg-BG"/>
              </w:rPr>
              <w:t xml:space="preserve">изчисляване на нетните разходи за предоставяне на </w:t>
            </w:r>
            <w:r w:rsidRPr="008869A5">
              <w:rPr>
                <w:rFonts w:eastAsiaTheme="minorHAnsi"/>
                <w:sz w:val="22"/>
                <w:szCs w:val="22"/>
                <w:lang w:val="bg-BG"/>
              </w:rPr>
              <w:t>гласови съобщения чрез свързване в определено местоположение</w:t>
            </w:r>
            <w:r w:rsidRPr="001D7A85">
              <w:rPr>
                <w:rFonts w:eastAsiaTheme="minorHAnsi"/>
                <w:sz w:val="22"/>
                <w:szCs w:val="22"/>
                <w:lang w:val="bg-BG"/>
              </w:rPr>
              <w:t xml:space="preserve"> и </w:t>
            </w:r>
            <w:r w:rsidRPr="008869A5">
              <w:rPr>
                <w:rFonts w:eastAsiaTheme="minorHAnsi"/>
                <w:sz w:val="22"/>
                <w:szCs w:val="22"/>
                <w:lang w:val="bg-BG"/>
              </w:rPr>
              <w:t>осигуряване на подходящ широколентов достъп до интернет в определено местоположение</w:t>
            </w:r>
            <w:r w:rsidR="0055370D">
              <w:rPr>
                <w:rFonts w:eastAsiaTheme="minorHAnsi"/>
                <w:sz w:val="22"/>
                <w:szCs w:val="22"/>
                <w:lang w:val="bg-BG"/>
              </w:rPr>
              <w:t>,</w:t>
            </w:r>
            <w:r>
              <w:rPr>
                <w:rFonts w:eastAsiaTheme="minorHAnsi"/>
                <w:sz w:val="22"/>
                <w:szCs w:val="22"/>
                <w:lang w:val="bg-BG"/>
              </w:rPr>
              <w:t xml:space="preserve"> са прецизирани и</w:t>
            </w:r>
            <w:r w:rsidRPr="001D7A85">
              <w:rPr>
                <w:sz w:val="22"/>
                <w:szCs w:val="22"/>
                <w:lang w:val="bg-BG"/>
              </w:rPr>
              <w:t xml:space="preserve"> са въведени формули за изчисляване</w:t>
            </w:r>
            <w:r>
              <w:rPr>
                <w:sz w:val="22"/>
                <w:szCs w:val="22"/>
                <w:lang w:val="bg-BG"/>
              </w:rPr>
              <w:t>то</w:t>
            </w:r>
            <w:r w:rsidRPr="001D7A85">
              <w:rPr>
                <w:sz w:val="22"/>
                <w:szCs w:val="22"/>
                <w:lang w:val="bg-BG"/>
              </w:rPr>
              <w:t xml:space="preserve"> </w:t>
            </w:r>
            <w:r w:rsidR="0055370D">
              <w:rPr>
                <w:sz w:val="22"/>
                <w:szCs w:val="22"/>
                <w:lang w:val="bg-BG"/>
              </w:rPr>
              <w:t>на съответните нетни разходи.</w:t>
            </w:r>
          </w:p>
        </w:tc>
      </w:tr>
    </w:tbl>
    <w:p w:rsidR="00BD0C9D" w:rsidRDefault="002F2475"/>
    <w:p w:rsidR="00DA31E1" w:rsidRDefault="00DA31E1">
      <w:pPr>
        <w:spacing w:after="160" w:line="259" w:lineRule="auto"/>
      </w:pPr>
      <w:r>
        <w:br w:type="page"/>
      </w:r>
    </w:p>
    <w:p w:rsidR="00DA31E1" w:rsidRPr="009252C6" w:rsidRDefault="00DA31E1" w:rsidP="0030748E">
      <w:pPr>
        <w:jc w:val="center"/>
        <w:rPr>
          <w:b/>
          <w:lang w:val="bg-BG"/>
        </w:rPr>
      </w:pPr>
      <w:r w:rsidRPr="009252C6">
        <w:rPr>
          <w:b/>
          <w:lang w:val="bg-BG"/>
        </w:rPr>
        <w:lastRenderedPageBreak/>
        <w:t xml:space="preserve">ТАБЛИЦА </w:t>
      </w:r>
    </w:p>
    <w:p w:rsidR="00DA31E1" w:rsidRDefault="00DA31E1" w:rsidP="0030748E">
      <w:pPr>
        <w:jc w:val="center"/>
      </w:pPr>
      <w:r w:rsidRPr="009252C6">
        <w:rPr>
          <w:b/>
          <w:lang w:val="bg-BG"/>
        </w:rPr>
        <w:t>с постъпилите с</w:t>
      </w:r>
      <w:proofErr w:type="spellStart"/>
      <w:r w:rsidRPr="009252C6">
        <w:rPr>
          <w:b/>
        </w:rPr>
        <w:t>тановища</w:t>
      </w:r>
      <w:proofErr w:type="spellEnd"/>
      <w:r w:rsidRPr="009252C6">
        <w:rPr>
          <w:b/>
        </w:rPr>
        <w:t xml:space="preserve"> </w:t>
      </w:r>
      <w:proofErr w:type="spellStart"/>
      <w:r w:rsidRPr="009252C6">
        <w:rPr>
          <w:b/>
        </w:rPr>
        <w:t>на</w:t>
      </w:r>
      <w:proofErr w:type="spellEnd"/>
      <w:r w:rsidRPr="009252C6">
        <w:rPr>
          <w:b/>
        </w:rPr>
        <w:t xml:space="preserve"> </w:t>
      </w:r>
      <w:proofErr w:type="spellStart"/>
      <w:r w:rsidRPr="009252C6">
        <w:rPr>
          <w:b/>
        </w:rPr>
        <w:t>членовете</w:t>
      </w:r>
      <w:proofErr w:type="spellEnd"/>
      <w:r w:rsidRPr="009252C6">
        <w:rPr>
          <w:b/>
        </w:rPr>
        <w:t xml:space="preserve"> </w:t>
      </w:r>
      <w:proofErr w:type="spellStart"/>
      <w:r w:rsidRPr="009252C6">
        <w:rPr>
          <w:b/>
        </w:rPr>
        <w:t>на</w:t>
      </w:r>
      <w:proofErr w:type="spellEnd"/>
      <w:r w:rsidRPr="009252C6">
        <w:rPr>
          <w:b/>
        </w:rPr>
        <w:t xml:space="preserve"> </w:t>
      </w:r>
      <w:proofErr w:type="spellStart"/>
      <w:r w:rsidRPr="009252C6">
        <w:rPr>
          <w:b/>
        </w:rPr>
        <w:t>Управителния</w:t>
      </w:r>
      <w:proofErr w:type="spellEnd"/>
      <w:r w:rsidRPr="009252C6">
        <w:rPr>
          <w:b/>
        </w:rPr>
        <w:t xml:space="preserve"> </w:t>
      </w:r>
      <w:proofErr w:type="spellStart"/>
      <w:r w:rsidRPr="009252C6">
        <w:rPr>
          <w:b/>
        </w:rPr>
        <w:t>съвет</w:t>
      </w:r>
      <w:proofErr w:type="spellEnd"/>
      <w:r w:rsidRPr="009252C6">
        <w:rPr>
          <w:b/>
        </w:rPr>
        <w:t xml:space="preserve"> </w:t>
      </w:r>
      <w:proofErr w:type="spellStart"/>
      <w:r w:rsidRPr="009252C6">
        <w:rPr>
          <w:b/>
        </w:rPr>
        <w:t>на</w:t>
      </w:r>
      <w:proofErr w:type="spellEnd"/>
      <w:r w:rsidRPr="009252C6">
        <w:rPr>
          <w:b/>
        </w:rPr>
        <w:t xml:space="preserve"> </w:t>
      </w:r>
      <w:proofErr w:type="spellStart"/>
      <w:r w:rsidRPr="009252C6">
        <w:rPr>
          <w:b/>
        </w:rPr>
        <w:t>Фонда</w:t>
      </w:r>
      <w:proofErr w:type="spellEnd"/>
      <w:r w:rsidRPr="009252C6">
        <w:rPr>
          <w:b/>
        </w:rPr>
        <w:t xml:space="preserve"> </w:t>
      </w:r>
      <w:proofErr w:type="spellStart"/>
      <w:r w:rsidRPr="009252C6">
        <w:rPr>
          <w:b/>
        </w:rPr>
        <w:t>за</w:t>
      </w:r>
      <w:proofErr w:type="spellEnd"/>
      <w:r w:rsidRPr="009252C6">
        <w:rPr>
          <w:b/>
        </w:rPr>
        <w:t xml:space="preserve"> </w:t>
      </w:r>
      <w:proofErr w:type="spellStart"/>
      <w:r w:rsidRPr="009252C6">
        <w:rPr>
          <w:b/>
        </w:rPr>
        <w:t>компенсиране</w:t>
      </w:r>
      <w:proofErr w:type="spellEnd"/>
      <w:r w:rsidRPr="009252C6">
        <w:rPr>
          <w:b/>
        </w:rPr>
        <w:t xml:space="preserve"> </w:t>
      </w:r>
      <w:proofErr w:type="spellStart"/>
      <w:r w:rsidRPr="009252C6">
        <w:rPr>
          <w:b/>
        </w:rPr>
        <w:t>на</w:t>
      </w:r>
      <w:proofErr w:type="spellEnd"/>
      <w:r w:rsidRPr="009252C6">
        <w:rPr>
          <w:b/>
        </w:rPr>
        <w:t xml:space="preserve"> </w:t>
      </w:r>
      <w:proofErr w:type="spellStart"/>
      <w:r w:rsidRPr="009252C6">
        <w:rPr>
          <w:b/>
        </w:rPr>
        <w:t>универсалната</w:t>
      </w:r>
      <w:proofErr w:type="spellEnd"/>
      <w:r w:rsidRPr="009252C6">
        <w:rPr>
          <w:b/>
        </w:rPr>
        <w:t xml:space="preserve"> </w:t>
      </w:r>
      <w:proofErr w:type="spellStart"/>
      <w:r w:rsidRPr="009252C6">
        <w:rPr>
          <w:b/>
        </w:rPr>
        <w:t>услуга</w:t>
      </w:r>
      <w:proofErr w:type="spellEnd"/>
      <w:r w:rsidRPr="009252C6">
        <w:rPr>
          <w:b/>
        </w:rPr>
        <w:t xml:space="preserve"> </w:t>
      </w:r>
    </w:p>
    <w:p w:rsidR="00DA31E1" w:rsidRDefault="00DA31E1" w:rsidP="0030748E">
      <w:pPr>
        <w:jc w:val="center"/>
      </w:pPr>
    </w:p>
    <w:tbl>
      <w:tblPr>
        <w:tblStyle w:val="TableGrid"/>
        <w:tblW w:w="14040" w:type="dxa"/>
        <w:tblInd w:w="-455" w:type="dxa"/>
        <w:tblLayout w:type="fixed"/>
        <w:tblLook w:val="04A0" w:firstRow="1" w:lastRow="0" w:firstColumn="1" w:lastColumn="0" w:noHBand="0" w:noVBand="1"/>
      </w:tblPr>
      <w:tblGrid>
        <w:gridCol w:w="2610"/>
        <w:gridCol w:w="4230"/>
        <w:gridCol w:w="2520"/>
        <w:gridCol w:w="4680"/>
      </w:tblGrid>
      <w:tr w:rsidR="00DA31E1" w:rsidRPr="001837F2" w:rsidTr="0030748E">
        <w:tc>
          <w:tcPr>
            <w:tcW w:w="2610" w:type="dxa"/>
          </w:tcPr>
          <w:p w:rsidR="00DA31E1" w:rsidRPr="001837F2" w:rsidRDefault="00DA31E1" w:rsidP="00C3031F">
            <w:pPr>
              <w:spacing w:after="200" w:line="276" w:lineRule="auto"/>
              <w:rPr>
                <w:b/>
                <w:lang w:val="bg-BG"/>
              </w:rPr>
            </w:pPr>
            <w:r w:rsidRPr="001837F2">
              <w:rPr>
                <w:b/>
                <w:lang w:val="bg-BG"/>
              </w:rPr>
              <w:t>Заинтересовани лица</w:t>
            </w:r>
          </w:p>
        </w:tc>
        <w:tc>
          <w:tcPr>
            <w:tcW w:w="4230" w:type="dxa"/>
          </w:tcPr>
          <w:p w:rsidR="00DA31E1" w:rsidRPr="001837F2" w:rsidRDefault="00DA31E1" w:rsidP="00C3031F">
            <w:pPr>
              <w:spacing w:after="200" w:line="276" w:lineRule="auto"/>
              <w:rPr>
                <w:b/>
                <w:lang w:val="bg-BG"/>
              </w:rPr>
            </w:pPr>
            <w:r w:rsidRPr="001837F2">
              <w:rPr>
                <w:b/>
                <w:lang w:val="bg-BG"/>
              </w:rPr>
              <w:t>Предложения</w:t>
            </w:r>
          </w:p>
        </w:tc>
        <w:tc>
          <w:tcPr>
            <w:tcW w:w="2520" w:type="dxa"/>
          </w:tcPr>
          <w:p w:rsidR="00DA31E1" w:rsidRPr="001837F2" w:rsidRDefault="00DA31E1" w:rsidP="00C3031F">
            <w:pPr>
              <w:spacing w:after="200" w:line="276" w:lineRule="auto"/>
              <w:rPr>
                <w:b/>
                <w:lang w:val="bg-BG"/>
              </w:rPr>
            </w:pPr>
            <w:r w:rsidRPr="001837F2">
              <w:rPr>
                <w:b/>
                <w:lang w:val="bg-BG"/>
              </w:rPr>
              <w:t>Статус</w:t>
            </w:r>
          </w:p>
        </w:tc>
        <w:tc>
          <w:tcPr>
            <w:tcW w:w="4680" w:type="dxa"/>
          </w:tcPr>
          <w:p w:rsidR="00DA31E1" w:rsidRPr="001837F2" w:rsidRDefault="00DA31E1" w:rsidP="00C3031F">
            <w:pPr>
              <w:spacing w:after="200" w:line="276" w:lineRule="auto"/>
              <w:rPr>
                <w:b/>
                <w:lang w:val="bg-BG"/>
              </w:rPr>
            </w:pPr>
            <w:r w:rsidRPr="001837F2">
              <w:rPr>
                <w:b/>
                <w:lang w:val="bg-BG"/>
              </w:rPr>
              <w:t xml:space="preserve">Мотиви за </w:t>
            </w:r>
            <w:proofErr w:type="spellStart"/>
            <w:r w:rsidRPr="001837F2">
              <w:rPr>
                <w:b/>
                <w:lang w:val="bg-BG"/>
              </w:rPr>
              <w:t>неприемане</w:t>
            </w:r>
            <w:proofErr w:type="spellEnd"/>
            <w:r w:rsidRPr="001837F2">
              <w:rPr>
                <w:b/>
                <w:lang w:val="bg-BG"/>
              </w:rPr>
              <w:t>/място на отразяване на приети предложения</w:t>
            </w:r>
          </w:p>
        </w:tc>
      </w:tr>
      <w:tr w:rsidR="00DA31E1" w:rsidTr="0030748E">
        <w:tc>
          <w:tcPr>
            <w:tcW w:w="14040" w:type="dxa"/>
            <w:gridSpan w:val="4"/>
          </w:tcPr>
          <w:p w:rsidR="00DA31E1" w:rsidRPr="001837F2" w:rsidRDefault="00DA31E1" w:rsidP="009B51E8">
            <w:pPr>
              <w:rPr>
                <w:lang w:val="bg-BG"/>
              </w:rPr>
            </w:pPr>
            <w:r>
              <w:rPr>
                <w:b/>
                <w:lang w:val="bg-BG"/>
              </w:rPr>
              <w:t xml:space="preserve">1. </w:t>
            </w:r>
            <w:proofErr w:type="spellStart"/>
            <w:r w:rsidRPr="001837F2">
              <w:rPr>
                <w:b/>
              </w:rPr>
              <w:t>Предложения</w:t>
            </w:r>
            <w:proofErr w:type="spellEnd"/>
            <w:r w:rsidRPr="001837F2">
              <w:rPr>
                <w:b/>
              </w:rPr>
              <w:t xml:space="preserve"> </w:t>
            </w:r>
            <w:proofErr w:type="spellStart"/>
            <w:r w:rsidRPr="001837F2">
              <w:rPr>
                <w:b/>
              </w:rPr>
              <w:t>по</w:t>
            </w:r>
            <w:proofErr w:type="spellEnd"/>
            <w:r w:rsidRPr="001837F2">
              <w:rPr>
                <w:lang w:val="bg-BG"/>
              </w:rPr>
              <w:t xml:space="preserve"> </w:t>
            </w:r>
            <w:proofErr w:type="spellStart"/>
            <w:r w:rsidRPr="001837F2">
              <w:rPr>
                <w:b/>
              </w:rPr>
              <w:t>чл</w:t>
            </w:r>
            <w:proofErr w:type="spellEnd"/>
            <w:r w:rsidRPr="001837F2">
              <w:rPr>
                <w:b/>
              </w:rPr>
              <w:t xml:space="preserve">. 2, </w:t>
            </w:r>
            <w:proofErr w:type="spellStart"/>
            <w:r w:rsidRPr="001837F2">
              <w:rPr>
                <w:b/>
              </w:rPr>
              <w:t>ал</w:t>
            </w:r>
            <w:proofErr w:type="spellEnd"/>
            <w:r w:rsidRPr="001837F2">
              <w:rPr>
                <w:b/>
              </w:rPr>
              <w:t xml:space="preserve">. 1, т. 3 </w:t>
            </w:r>
          </w:p>
        </w:tc>
      </w:tr>
      <w:tr w:rsidR="00DA31E1" w:rsidRPr="001837F2" w:rsidTr="0030748E">
        <w:tc>
          <w:tcPr>
            <w:tcW w:w="2610" w:type="dxa"/>
          </w:tcPr>
          <w:p w:rsidR="00DA31E1" w:rsidRPr="001C6099" w:rsidRDefault="00DA31E1" w:rsidP="00C3031F">
            <w:pPr>
              <w:rPr>
                <w:lang w:val="en-US"/>
              </w:rPr>
            </w:pPr>
            <w:r w:rsidRPr="0096506B">
              <w:rPr>
                <w:b/>
                <w:lang w:val="bg-BG"/>
              </w:rPr>
              <w:t>Министерство на транспорта информационните технологии и съобщенията (МТИТС)</w:t>
            </w:r>
            <w:r w:rsidR="001C6099" w:rsidRPr="0096506B">
              <w:rPr>
                <w:b/>
                <w:lang w:val="en-US"/>
              </w:rPr>
              <w:t xml:space="preserve">, </w:t>
            </w:r>
            <w:r w:rsidR="001C6099" w:rsidRPr="0096506B">
              <w:rPr>
                <w:b/>
                <w:lang w:val="bg-BG"/>
              </w:rPr>
              <w:t>към настоящия момент Министерство на транспорта и съобщенията (МТС</w:t>
            </w:r>
            <w:r w:rsidR="001C6099">
              <w:rPr>
                <w:lang w:val="bg-BG"/>
              </w:rPr>
              <w:t>)</w:t>
            </w:r>
          </w:p>
        </w:tc>
        <w:tc>
          <w:tcPr>
            <w:tcW w:w="4230" w:type="dxa"/>
          </w:tcPr>
          <w:p w:rsidR="00DA31E1" w:rsidRPr="001A62F1" w:rsidRDefault="00784B8B" w:rsidP="00C3031F">
            <w:pPr>
              <w:pStyle w:val="Style13"/>
              <w:widowControl/>
              <w:spacing w:before="120" w:line="240" w:lineRule="auto"/>
              <w:ind w:firstLine="0"/>
              <w:rPr>
                <w:rStyle w:val="FontStyle64"/>
                <w:b w:val="0"/>
                <w:i w:val="0"/>
                <w:lang w:val="bg-BG"/>
              </w:rPr>
            </w:pPr>
            <w:r>
              <w:rPr>
                <w:rStyle w:val="FontStyle64"/>
                <w:b w:val="0"/>
                <w:i w:val="0"/>
                <w:lang w:val="bg-BG"/>
              </w:rPr>
              <w:t>МТ</w:t>
            </w:r>
            <w:r w:rsidR="00DA31E1" w:rsidRPr="001A62F1">
              <w:rPr>
                <w:rStyle w:val="FontStyle64"/>
                <w:b w:val="0"/>
                <w:i w:val="0"/>
                <w:lang w:val="bg-BG"/>
              </w:rPr>
              <w:t>С предлага следната редакция на т. 3 от чл. 2, ал. 1:</w:t>
            </w:r>
          </w:p>
          <w:p w:rsidR="00DA31E1" w:rsidRPr="001837F2" w:rsidRDefault="00DA31E1" w:rsidP="00C3031F">
            <w:r w:rsidRPr="001A62F1">
              <w:rPr>
                <w:rStyle w:val="FontStyle64"/>
                <w:b w:val="0"/>
                <w:i w:val="0"/>
                <w:lang w:val="bg-BG"/>
              </w:rPr>
              <w:t xml:space="preserve">     3. предоставяне на услуги, различни от посочените по т. 1 и 2, за които са били налице действащи задължения за предоставяне на универсална услуга преди влизане в сила на Закона за изменение и допълнение на Закона за електронните съобщения (</w:t>
            </w:r>
            <w:proofErr w:type="spellStart"/>
            <w:r w:rsidRPr="001A62F1">
              <w:rPr>
                <w:rStyle w:val="FontStyle64"/>
                <w:b w:val="0"/>
                <w:i w:val="0"/>
                <w:lang w:val="bg-BG"/>
              </w:rPr>
              <w:t>Обн</w:t>
            </w:r>
            <w:proofErr w:type="spellEnd"/>
            <w:r w:rsidRPr="001A62F1">
              <w:rPr>
                <w:rStyle w:val="FontStyle64"/>
                <w:b w:val="0"/>
                <w:i w:val="0"/>
                <w:lang w:val="bg-BG"/>
              </w:rPr>
              <w:t>., ДВ, бр. 20 от 2021 г.)</w:t>
            </w:r>
          </w:p>
        </w:tc>
        <w:tc>
          <w:tcPr>
            <w:tcW w:w="2520" w:type="dxa"/>
          </w:tcPr>
          <w:p w:rsidR="00DA31E1" w:rsidRPr="001837F2" w:rsidRDefault="00DA31E1" w:rsidP="00C3031F">
            <w:pPr>
              <w:rPr>
                <w:lang w:val="bg-BG"/>
              </w:rPr>
            </w:pPr>
            <w:r>
              <w:rPr>
                <w:lang w:val="bg-BG"/>
              </w:rPr>
              <w:t>Приема се</w:t>
            </w:r>
            <w:r w:rsidR="009B51E8">
              <w:rPr>
                <w:lang w:val="bg-BG"/>
              </w:rPr>
              <w:t xml:space="preserve"> частично</w:t>
            </w:r>
          </w:p>
        </w:tc>
        <w:tc>
          <w:tcPr>
            <w:tcW w:w="4680" w:type="dxa"/>
          </w:tcPr>
          <w:p w:rsidR="00DA31E1" w:rsidRDefault="00601978" w:rsidP="00601978">
            <w:pPr>
              <w:rPr>
                <w:lang w:val="bg-BG"/>
              </w:rPr>
            </w:pPr>
            <w:r>
              <w:rPr>
                <w:lang w:val="bg-BG"/>
              </w:rPr>
              <w:t>Текстът на т. 3 на чл. 2, ал. 1 придобива следния вид:</w:t>
            </w:r>
          </w:p>
          <w:p w:rsidR="00601978" w:rsidRDefault="00601978" w:rsidP="00601978">
            <w:pPr>
              <w:rPr>
                <w:rStyle w:val="FontStyle64"/>
                <w:lang w:val="bg-BG"/>
              </w:rPr>
            </w:pPr>
            <w:r w:rsidRPr="001837F2">
              <w:rPr>
                <w:rStyle w:val="FontStyle64"/>
                <w:lang w:val="bg-BG"/>
              </w:rPr>
              <w:t xml:space="preserve">3. предоставяне на услуги, различни от посочените по т. 1 и 2, за които са </w:t>
            </w:r>
            <w:r w:rsidRPr="00876A0C">
              <w:rPr>
                <w:rStyle w:val="FontStyle64"/>
                <w:lang w:val="bg-BG"/>
              </w:rPr>
              <w:t>налице действащи задължения за предоставяне на универсална услуга преди влизане в сила на Закона за изменение и допълнение на Закона за електронните съобщения (</w:t>
            </w:r>
            <w:proofErr w:type="spellStart"/>
            <w:r w:rsidRPr="00876A0C">
              <w:rPr>
                <w:rStyle w:val="FontStyle64"/>
                <w:lang w:val="bg-BG"/>
              </w:rPr>
              <w:t>Обн</w:t>
            </w:r>
            <w:proofErr w:type="spellEnd"/>
            <w:r w:rsidRPr="00876A0C">
              <w:rPr>
                <w:rStyle w:val="FontStyle64"/>
                <w:lang w:val="bg-BG"/>
              </w:rPr>
              <w:t>., ДВ, бр. 20 от 2021 г.)</w:t>
            </w:r>
          </w:p>
          <w:p w:rsidR="00601978" w:rsidRPr="00601978" w:rsidRDefault="00601978" w:rsidP="00601978">
            <w:pPr>
              <w:rPr>
                <w:lang w:val="bg-BG"/>
              </w:rPr>
            </w:pPr>
            <w:r>
              <w:rPr>
                <w:lang w:val="bg-BG"/>
              </w:rPr>
              <w:t>Работната група не приема предложението за добавянето на „били“ между „са налице“, предвид отмяната действащите задължения за предоставянето на други услуги в рамките на задължението за универсална услуга съгласно Решение на КРС № 350/30.09.2021 г.</w:t>
            </w:r>
          </w:p>
        </w:tc>
      </w:tr>
      <w:tr w:rsidR="00DA31E1" w:rsidRPr="00A97655" w:rsidTr="0030748E">
        <w:tc>
          <w:tcPr>
            <w:tcW w:w="14040" w:type="dxa"/>
            <w:gridSpan w:val="4"/>
          </w:tcPr>
          <w:p w:rsidR="00DA31E1" w:rsidRPr="00A97655" w:rsidRDefault="00DA31E1" w:rsidP="009B51E8">
            <w:r w:rsidRPr="00A97655">
              <w:rPr>
                <w:b/>
                <w:lang w:val="bg-BG"/>
              </w:rPr>
              <w:t xml:space="preserve">2. Предложения по чл. 2, ал. 2 </w:t>
            </w:r>
          </w:p>
        </w:tc>
      </w:tr>
      <w:tr w:rsidR="00DA31E1" w:rsidRPr="00A97655" w:rsidTr="0030748E">
        <w:tc>
          <w:tcPr>
            <w:tcW w:w="2610" w:type="dxa"/>
          </w:tcPr>
          <w:p w:rsidR="00DA31E1" w:rsidRPr="0096506B" w:rsidRDefault="00784B8B" w:rsidP="00C3031F">
            <w:pPr>
              <w:rPr>
                <w:b/>
                <w:lang w:val="bg-BG"/>
              </w:rPr>
            </w:pPr>
            <w:r w:rsidRPr="0096506B">
              <w:rPr>
                <w:b/>
                <w:lang w:val="bg-BG"/>
              </w:rPr>
              <w:t>МТ</w:t>
            </w:r>
            <w:r w:rsidR="00DA31E1" w:rsidRPr="0096506B">
              <w:rPr>
                <w:b/>
                <w:lang w:val="bg-BG"/>
              </w:rPr>
              <w:t>С</w:t>
            </w:r>
          </w:p>
        </w:tc>
        <w:tc>
          <w:tcPr>
            <w:tcW w:w="4230" w:type="dxa"/>
          </w:tcPr>
          <w:p w:rsidR="00DA31E1" w:rsidRPr="00A97655" w:rsidRDefault="00784B8B" w:rsidP="00C3031F">
            <w:pPr>
              <w:pStyle w:val="Style13"/>
              <w:widowControl/>
              <w:spacing w:before="120" w:line="240" w:lineRule="auto"/>
              <w:ind w:firstLine="0"/>
              <w:jc w:val="left"/>
              <w:rPr>
                <w:rStyle w:val="FontStyle64"/>
                <w:b w:val="0"/>
                <w:i w:val="0"/>
                <w:lang w:val="bg-BG"/>
              </w:rPr>
            </w:pPr>
            <w:r>
              <w:rPr>
                <w:rStyle w:val="FontStyle64"/>
                <w:lang w:val="bg-BG"/>
              </w:rPr>
              <w:t>М</w:t>
            </w:r>
            <w:r w:rsidR="00DA31E1" w:rsidRPr="00A97655">
              <w:rPr>
                <w:rStyle w:val="FontStyle64"/>
                <w:lang w:val="bg-BG"/>
              </w:rPr>
              <w:t>ТС предлага редакционна корекция на ал. 2 от чл. 2, като добавка пред съкращението ЗЕС:</w:t>
            </w:r>
          </w:p>
          <w:p w:rsidR="00DA31E1" w:rsidRPr="00A97655" w:rsidRDefault="00DA31E1" w:rsidP="00C3031F">
            <w:pPr>
              <w:pStyle w:val="Style13"/>
              <w:widowControl/>
              <w:spacing w:before="120" w:line="240" w:lineRule="auto"/>
              <w:ind w:firstLine="0"/>
              <w:jc w:val="left"/>
              <w:rPr>
                <w:rFonts w:ascii="Times New Roman" w:hAnsi="Times New Roman"/>
                <w:bCs/>
                <w:iCs/>
                <w:lang w:val="bg-BG"/>
              </w:rPr>
            </w:pPr>
            <w:r w:rsidRPr="00A97655">
              <w:rPr>
                <w:rStyle w:val="FontStyle64"/>
                <w:lang w:val="bg-BG"/>
              </w:rPr>
              <w:t>„…</w:t>
            </w:r>
            <w:r w:rsidRPr="00876A0C">
              <w:rPr>
                <w:rStyle w:val="FontStyle64"/>
                <w:lang w:val="bg-BG"/>
              </w:rPr>
              <w:t xml:space="preserve">Закона за електронните съобщения </w:t>
            </w:r>
            <w:r w:rsidRPr="00A97655">
              <w:rPr>
                <w:rStyle w:val="FontStyle64"/>
                <w:lang w:val="bg-BG"/>
              </w:rPr>
              <w:t>(ЗЕС)“</w:t>
            </w:r>
          </w:p>
        </w:tc>
        <w:tc>
          <w:tcPr>
            <w:tcW w:w="2520" w:type="dxa"/>
          </w:tcPr>
          <w:p w:rsidR="00DA31E1" w:rsidRPr="00A97655" w:rsidRDefault="00DA31E1" w:rsidP="00C3031F">
            <w:pPr>
              <w:rPr>
                <w:lang w:val="bg-BG"/>
              </w:rPr>
            </w:pPr>
            <w:r>
              <w:rPr>
                <w:lang w:val="bg-BG"/>
              </w:rPr>
              <w:t xml:space="preserve">Приема се </w:t>
            </w:r>
          </w:p>
        </w:tc>
        <w:tc>
          <w:tcPr>
            <w:tcW w:w="4680" w:type="dxa"/>
          </w:tcPr>
          <w:p w:rsidR="00DA31E1" w:rsidRPr="00A97655" w:rsidRDefault="00DA31E1" w:rsidP="00C3031F">
            <w:pPr>
              <w:rPr>
                <w:lang w:val="bg-BG"/>
              </w:rPr>
            </w:pPr>
            <w:r>
              <w:rPr>
                <w:lang w:val="bg-BG"/>
              </w:rPr>
              <w:t>Редакцията е отразена в ал. 2 на чл. 2</w:t>
            </w:r>
          </w:p>
        </w:tc>
      </w:tr>
      <w:tr w:rsidR="00DA31E1" w:rsidRPr="00A97655" w:rsidTr="0030748E">
        <w:tc>
          <w:tcPr>
            <w:tcW w:w="14040" w:type="dxa"/>
            <w:gridSpan w:val="4"/>
          </w:tcPr>
          <w:p w:rsidR="00DA31E1" w:rsidRPr="00A97655" w:rsidRDefault="00DA31E1" w:rsidP="00C3031F">
            <w:r>
              <w:rPr>
                <w:b/>
                <w:lang w:val="bg-BG"/>
              </w:rPr>
              <w:t>3</w:t>
            </w:r>
            <w:r w:rsidRPr="00A97655">
              <w:rPr>
                <w:b/>
                <w:lang w:val="bg-BG"/>
              </w:rPr>
              <w:t xml:space="preserve">. Предложения </w:t>
            </w:r>
            <w:r w:rsidRPr="008C3FD2">
              <w:rPr>
                <w:b/>
                <w:lang w:val="bg-BG"/>
              </w:rPr>
              <w:t>по</w:t>
            </w:r>
            <w:r w:rsidRPr="008C3FD2">
              <w:rPr>
                <w:b/>
              </w:rPr>
              <w:t xml:space="preserve"> </w:t>
            </w:r>
            <w:proofErr w:type="spellStart"/>
            <w:r w:rsidRPr="008C3FD2">
              <w:rPr>
                <w:b/>
              </w:rPr>
              <w:t>чл</w:t>
            </w:r>
            <w:proofErr w:type="spellEnd"/>
            <w:r w:rsidRPr="008C3FD2">
              <w:rPr>
                <w:b/>
              </w:rPr>
              <w:t xml:space="preserve">. 3, </w:t>
            </w:r>
            <w:proofErr w:type="spellStart"/>
            <w:r w:rsidRPr="008C3FD2">
              <w:rPr>
                <w:b/>
              </w:rPr>
              <w:t>ал</w:t>
            </w:r>
            <w:proofErr w:type="spellEnd"/>
            <w:r w:rsidRPr="008C3FD2">
              <w:rPr>
                <w:b/>
              </w:rPr>
              <w:t xml:space="preserve">. 1 </w:t>
            </w:r>
            <w:proofErr w:type="spellStart"/>
            <w:r w:rsidRPr="008C3FD2">
              <w:rPr>
                <w:b/>
              </w:rPr>
              <w:t>от</w:t>
            </w:r>
            <w:proofErr w:type="spellEnd"/>
            <w:r w:rsidRPr="008C3FD2">
              <w:rPr>
                <w:b/>
              </w:rPr>
              <w:t xml:space="preserve"> </w:t>
            </w:r>
            <w:r w:rsidRPr="008C3FD2">
              <w:rPr>
                <w:b/>
                <w:lang w:val="bg-BG"/>
              </w:rPr>
              <w:t>Правилата за нетните</w:t>
            </w:r>
            <w:r w:rsidRPr="001F375B">
              <w:rPr>
                <w:b/>
                <w:lang w:val="bg-BG"/>
              </w:rPr>
              <w:t xml:space="preserve"> разходи</w:t>
            </w:r>
          </w:p>
        </w:tc>
      </w:tr>
      <w:tr w:rsidR="00DA31E1" w:rsidRPr="00A97655" w:rsidTr="0030748E">
        <w:tc>
          <w:tcPr>
            <w:tcW w:w="2610" w:type="dxa"/>
          </w:tcPr>
          <w:p w:rsidR="00DA31E1" w:rsidRPr="0096506B" w:rsidRDefault="00784B8B" w:rsidP="00C3031F">
            <w:pPr>
              <w:rPr>
                <w:b/>
                <w:lang w:val="bg-BG"/>
              </w:rPr>
            </w:pPr>
            <w:r w:rsidRPr="0096506B">
              <w:rPr>
                <w:b/>
                <w:lang w:val="bg-BG"/>
              </w:rPr>
              <w:lastRenderedPageBreak/>
              <w:t>МТ</w:t>
            </w:r>
            <w:r w:rsidR="00DA31E1" w:rsidRPr="0096506B">
              <w:rPr>
                <w:b/>
                <w:lang w:val="bg-BG"/>
              </w:rPr>
              <w:t>С</w:t>
            </w:r>
          </w:p>
        </w:tc>
        <w:tc>
          <w:tcPr>
            <w:tcW w:w="4230" w:type="dxa"/>
          </w:tcPr>
          <w:p w:rsidR="00DA31E1" w:rsidRPr="005E4266" w:rsidRDefault="00784B8B" w:rsidP="00C3031F">
            <w:pPr>
              <w:pStyle w:val="Style13"/>
              <w:widowControl/>
              <w:spacing w:before="120" w:line="240" w:lineRule="auto"/>
              <w:ind w:firstLine="0"/>
              <w:jc w:val="left"/>
              <w:rPr>
                <w:rFonts w:ascii="Times New Roman" w:hAnsi="Times New Roman"/>
                <w:bCs/>
                <w:i/>
                <w:iCs/>
                <w:lang w:val="bg-BG"/>
              </w:rPr>
            </w:pPr>
            <w:r>
              <w:rPr>
                <w:rStyle w:val="FontStyle64"/>
                <w:lang w:val="bg-BG"/>
              </w:rPr>
              <w:t>МТ</w:t>
            </w:r>
            <w:r w:rsidR="00DA31E1" w:rsidRPr="005E4266">
              <w:rPr>
                <w:rStyle w:val="FontStyle64"/>
                <w:lang w:val="bg-BG"/>
              </w:rPr>
              <w:t>С предлага нематериалните „преимущества“ да бъдат заменени с нематериални „ползи“. Предложената корекция се отнася за всички места в документа, на които се среща термина.</w:t>
            </w:r>
          </w:p>
        </w:tc>
        <w:tc>
          <w:tcPr>
            <w:tcW w:w="2520" w:type="dxa"/>
          </w:tcPr>
          <w:p w:rsidR="00DA31E1" w:rsidRPr="005E4266" w:rsidRDefault="00DA31E1" w:rsidP="00C3031F">
            <w:pPr>
              <w:rPr>
                <w:lang w:val="bg-BG"/>
              </w:rPr>
            </w:pPr>
            <w:r w:rsidRPr="005E4266">
              <w:rPr>
                <w:lang w:val="bg-BG"/>
              </w:rPr>
              <w:t>Не се приема</w:t>
            </w:r>
          </w:p>
        </w:tc>
        <w:tc>
          <w:tcPr>
            <w:tcW w:w="4680" w:type="dxa"/>
          </w:tcPr>
          <w:p w:rsidR="00DA31E1" w:rsidRPr="005E4266" w:rsidRDefault="00DA31E1" w:rsidP="00C3031F">
            <w:pPr>
              <w:rPr>
                <w:lang w:val="bg-BG"/>
              </w:rPr>
            </w:pPr>
            <w:r w:rsidRPr="005E4266">
              <w:rPr>
                <w:lang w:val="bg-BG"/>
              </w:rPr>
              <w:t>Предложената корекция не съответства на чл. 200, ал. 2, където терминът е като „</w:t>
            </w:r>
            <w:r w:rsidRPr="005E4266">
              <w:rPr>
                <w:i/>
                <w:lang w:val="bg-BG"/>
              </w:rPr>
              <w:t>нематериални преимущества</w:t>
            </w:r>
            <w:r w:rsidRPr="005E4266">
              <w:rPr>
                <w:lang w:val="bg-BG"/>
              </w:rPr>
              <w:t>“.</w:t>
            </w:r>
          </w:p>
        </w:tc>
      </w:tr>
      <w:tr w:rsidR="00DA31E1" w:rsidRPr="00A97655" w:rsidTr="0030748E">
        <w:tc>
          <w:tcPr>
            <w:tcW w:w="2610" w:type="dxa"/>
          </w:tcPr>
          <w:p w:rsidR="00DA31E1" w:rsidRPr="0096506B" w:rsidRDefault="00DA31E1" w:rsidP="00C3031F">
            <w:pPr>
              <w:rPr>
                <w:b/>
                <w:lang w:val="bg-BG"/>
              </w:rPr>
            </w:pPr>
            <w:r w:rsidRPr="0096506B">
              <w:rPr>
                <w:b/>
                <w:lang w:val="bg-BG"/>
              </w:rPr>
              <w:t>Министерство на финансите (МФ)</w:t>
            </w:r>
          </w:p>
        </w:tc>
        <w:tc>
          <w:tcPr>
            <w:tcW w:w="4230" w:type="dxa"/>
          </w:tcPr>
          <w:p w:rsidR="00DA31E1" w:rsidRPr="005E4266" w:rsidRDefault="00DA31E1" w:rsidP="00C3031F">
            <w:pPr>
              <w:rPr>
                <w:i/>
                <w:lang w:val="bg-BG"/>
              </w:rPr>
            </w:pPr>
            <w:r w:rsidRPr="005E4266">
              <w:rPr>
                <w:i/>
                <w:lang w:val="bg-BG"/>
              </w:rPr>
              <w:t xml:space="preserve">МФ предлага в последното изречение на чл. 3, ал. 1 думата „коригира“ да се замени с думата „намалява“ при  корекцията на сумата на нетните разходи с оценката на нематериалните преимущества в паричен еквивалент. </w:t>
            </w:r>
          </w:p>
          <w:p w:rsidR="00DA31E1" w:rsidRPr="005E4266" w:rsidRDefault="00DA31E1" w:rsidP="00C3031F">
            <w:pPr>
              <w:rPr>
                <w:lang w:val="bg-BG"/>
              </w:rPr>
            </w:pPr>
            <w:r w:rsidRPr="005E4266">
              <w:rPr>
                <w:i/>
                <w:lang w:val="bg-BG"/>
              </w:rPr>
              <w:t>Становище в с</w:t>
            </w:r>
            <w:r w:rsidR="007E0C31">
              <w:rPr>
                <w:i/>
                <w:lang w:val="bg-BG"/>
              </w:rPr>
              <w:t>ъщата посока е изразено и от М</w:t>
            </w:r>
            <w:r w:rsidRPr="005E4266">
              <w:rPr>
                <w:i/>
                <w:lang w:val="bg-BG"/>
              </w:rPr>
              <w:t>ТС по чл. 11 от проекта</w:t>
            </w:r>
          </w:p>
        </w:tc>
        <w:tc>
          <w:tcPr>
            <w:tcW w:w="2520" w:type="dxa"/>
          </w:tcPr>
          <w:p w:rsidR="00DA31E1" w:rsidRPr="005E4266" w:rsidRDefault="00DA31E1" w:rsidP="00C3031F">
            <w:pPr>
              <w:rPr>
                <w:lang w:val="bg-BG"/>
              </w:rPr>
            </w:pPr>
            <w:r w:rsidRPr="005E4266">
              <w:rPr>
                <w:lang w:val="bg-BG"/>
              </w:rPr>
              <w:t>Приема се</w:t>
            </w:r>
          </w:p>
        </w:tc>
        <w:tc>
          <w:tcPr>
            <w:tcW w:w="4680" w:type="dxa"/>
          </w:tcPr>
          <w:p w:rsidR="00DA31E1" w:rsidRPr="005E4266" w:rsidRDefault="009252C6" w:rsidP="00EA64B3">
            <w:pPr>
              <w:rPr>
                <w:lang w:val="bg-BG"/>
              </w:rPr>
            </w:pPr>
            <w:r>
              <w:rPr>
                <w:lang w:val="bg-BG"/>
              </w:rPr>
              <w:t>КРС</w:t>
            </w:r>
            <w:r w:rsidR="00DA31E1" w:rsidRPr="005E4266">
              <w:rPr>
                <w:lang w:val="bg-BG"/>
              </w:rPr>
              <w:t xml:space="preserve"> приема предложението. Текстовете на чл. 3, ал. 1 и чл. 11 на проект</w:t>
            </w:r>
            <w:r w:rsidR="00EA64B3">
              <w:rPr>
                <w:lang w:val="bg-BG"/>
              </w:rPr>
              <w:t>а</w:t>
            </w:r>
            <w:r w:rsidR="00DA31E1" w:rsidRPr="005E4266">
              <w:rPr>
                <w:lang w:val="bg-BG"/>
              </w:rPr>
              <w:t xml:space="preserve"> на Правилата са изменени в съответствие с предложението на МФ</w:t>
            </w:r>
            <w:r w:rsidR="005A48C0">
              <w:rPr>
                <w:lang w:val="bg-BG"/>
              </w:rPr>
              <w:t xml:space="preserve"> и М</w:t>
            </w:r>
            <w:r w:rsidR="00DA31E1">
              <w:rPr>
                <w:lang w:val="bg-BG"/>
              </w:rPr>
              <w:t>ТС</w:t>
            </w:r>
            <w:r w:rsidR="00DA31E1" w:rsidRPr="005E4266">
              <w:rPr>
                <w:lang w:val="bg-BG"/>
              </w:rPr>
              <w:t>.</w:t>
            </w:r>
          </w:p>
        </w:tc>
      </w:tr>
      <w:tr w:rsidR="00DA31E1" w:rsidRPr="00A97655" w:rsidTr="0030748E">
        <w:tc>
          <w:tcPr>
            <w:tcW w:w="14040" w:type="dxa"/>
            <w:gridSpan w:val="4"/>
          </w:tcPr>
          <w:p w:rsidR="00DA31E1" w:rsidRPr="0049388F" w:rsidRDefault="00DA31E1" w:rsidP="00C3031F">
            <w:pPr>
              <w:rPr>
                <w:b/>
                <w:lang w:val="bg-BG"/>
              </w:rPr>
            </w:pPr>
            <w:r w:rsidRPr="0049388F">
              <w:rPr>
                <w:b/>
                <w:lang w:val="bg-BG"/>
              </w:rPr>
              <w:t>4. Предложения за допълнения в проекта на Правила</w:t>
            </w:r>
          </w:p>
        </w:tc>
      </w:tr>
      <w:tr w:rsidR="00DA31E1" w:rsidRPr="00A97655" w:rsidTr="0030748E">
        <w:tc>
          <w:tcPr>
            <w:tcW w:w="2610" w:type="dxa"/>
          </w:tcPr>
          <w:p w:rsidR="00DA31E1" w:rsidRPr="0096506B" w:rsidRDefault="00DA31E1" w:rsidP="00C3031F">
            <w:pPr>
              <w:rPr>
                <w:b/>
                <w:lang w:val="bg-BG"/>
              </w:rPr>
            </w:pPr>
            <w:r w:rsidRPr="0096506B">
              <w:rPr>
                <w:b/>
                <w:lang w:val="bg-BG"/>
              </w:rPr>
              <w:t>МФ</w:t>
            </w:r>
          </w:p>
        </w:tc>
        <w:tc>
          <w:tcPr>
            <w:tcW w:w="4230" w:type="dxa"/>
          </w:tcPr>
          <w:p w:rsidR="00DA31E1" w:rsidRPr="00A97655" w:rsidRDefault="00DA31E1" w:rsidP="00C3031F">
            <w:r>
              <w:rPr>
                <w:lang w:val="bg-BG"/>
              </w:rPr>
              <w:t xml:space="preserve">МФ счита, че </w:t>
            </w:r>
            <w:r w:rsidRPr="005E4266">
              <w:rPr>
                <w:lang w:val="bg-BG"/>
              </w:rPr>
              <w:t>в проекта на Правила следва да се посочи как ще бъдат определяни данни</w:t>
            </w:r>
            <w:r>
              <w:rPr>
                <w:lang w:val="bg-BG"/>
              </w:rPr>
              <w:t>те</w:t>
            </w:r>
            <w:r>
              <w:t xml:space="preserve"> </w:t>
            </w:r>
            <w:r>
              <w:rPr>
                <w:lang w:val="bg-BG"/>
              </w:rPr>
              <w:t xml:space="preserve">за </w:t>
            </w:r>
            <w:r w:rsidRPr="005E4266">
              <w:rPr>
                <w:lang w:val="bg-BG"/>
              </w:rPr>
              <w:t>размера на хипотетични</w:t>
            </w:r>
            <w:r>
              <w:rPr>
                <w:lang w:val="bg-BG"/>
              </w:rPr>
              <w:t>те</w:t>
            </w:r>
            <w:r w:rsidRPr="005E4266">
              <w:rPr>
                <w:lang w:val="bg-BG"/>
              </w:rPr>
              <w:t xml:space="preserve"> приходи и разходи, които биха възникнали за задълженото предприятие при извършване на дейността му без възложени задължения за предоставяне на универсалната услуга</w:t>
            </w:r>
            <w:r>
              <w:rPr>
                <w:lang w:val="bg-BG"/>
              </w:rPr>
              <w:t xml:space="preserve"> </w:t>
            </w:r>
            <w:r w:rsidRPr="005E4266">
              <w:rPr>
                <w:lang w:val="bg-BG"/>
              </w:rPr>
              <w:t xml:space="preserve"> и как ще се гарантира тяхната достоверност</w:t>
            </w:r>
            <w:r>
              <w:rPr>
                <w:lang w:val="bg-BG"/>
              </w:rPr>
              <w:t xml:space="preserve">. В тази връзка, </w:t>
            </w:r>
            <w:r w:rsidRPr="005E4266">
              <w:rPr>
                <w:lang w:val="bg-BG"/>
              </w:rPr>
              <w:t xml:space="preserve">МФ предлага да се предвиди при подаване на заявление за компенсация от страна на задълженото предприятие да се предоставят съответните документи, с които да се обоснове размерът на </w:t>
            </w:r>
            <w:r w:rsidRPr="005E4266">
              <w:rPr>
                <w:lang w:val="bg-BG"/>
              </w:rPr>
              <w:lastRenderedPageBreak/>
              <w:t>хипотетичните приходи и разходи при работа на предприятието без задължение за предоставяне на универсалната услуга</w:t>
            </w:r>
            <w:r w:rsidRPr="005E4266">
              <w:t>.</w:t>
            </w:r>
          </w:p>
        </w:tc>
        <w:tc>
          <w:tcPr>
            <w:tcW w:w="2520" w:type="dxa"/>
          </w:tcPr>
          <w:p w:rsidR="00DA31E1" w:rsidRPr="00876A0C" w:rsidRDefault="00DA31E1" w:rsidP="00C3031F">
            <w:pPr>
              <w:rPr>
                <w:lang w:val="bg-BG"/>
              </w:rPr>
            </w:pPr>
            <w:r>
              <w:rPr>
                <w:lang w:val="bg-BG"/>
              </w:rPr>
              <w:lastRenderedPageBreak/>
              <w:t xml:space="preserve">Приема се </w:t>
            </w:r>
          </w:p>
        </w:tc>
        <w:tc>
          <w:tcPr>
            <w:tcW w:w="4680" w:type="dxa"/>
          </w:tcPr>
          <w:p w:rsidR="00DA31E1" w:rsidRDefault="00DA31E1" w:rsidP="00C3031F">
            <w:pPr>
              <w:rPr>
                <w:lang w:val="bg-BG"/>
              </w:rPr>
            </w:pPr>
            <w:r>
              <w:rPr>
                <w:lang w:val="bg-BG"/>
              </w:rPr>
              <w:t xml:space="preserve">В чл. 14, ал. 2 са добавени съответно т. 2 и т. 3, както следва: </w:t>
            </w:r>
          </w:p>
          <w:p w:rsidR="00DA31E1" w:rsidRPr="00876A0C" w:rsidRDefault="00DA31E1" w:rsidP="00C3031F">
            <w:pPr>
              <w:pStyle w:val="ListParagraph"/>
              <w:numPr>
                <w:ilvl w:val="0"/>
                <w:numId w:val="1"/>
              </w:numPr>
              <w:tabs>
                <w:tab w:val="left" w:pos="284"/>
              </w:tabs>
              <w:spacing w:before="120" w:after="120"/>
              <w:jc w:val="both"/>
              <w:rPr>
                <w:bCs/>
                <w:lang w:val="bg-BG"/>
              </w:rPr>
            </w:pPr>
            <w:r w:rsidRPr="00876A0C">
              <w:rPr>
                <w:bCs/>
                <w:lang w:val="bg-BG"/>
              </w:rPr>
              <w:t>справка за обема на услугите, които задълженото предприятие би предоставяло при липса на задължение за предоставяне на универсалната услуга, в т.ч. подробно описание и обосновка на начина на определяне на обема услуги</w:t>
            </w:r>
            <w:r w:rsidRPr="00876A0C">
              <w:rPr>
                <w:bCs/>
              </w:rPr>
              <w:t>;</w:t>
            </w:r>
          </w:p>
          <w:p w:rsidR="00DA31E1" w:rsidRPr="00876A0C" w:rsidRDefault="00DA31E1" w:rsidP="00C3031F">
            <w:pPr>
              <w:pStyle w:val="ListParagraph"/>
              <w:numPr>
                <w:ilvl w:val="0"/>
                <w:numId w:val="1"/>
              </w:numPr>
              <w:rPr>
                <w:lang w:val="bg-BG"/>
              </w:rPr>
            </w:pPr>
            <w:r w:rsidRPr="00876A0C">
              <w:rPr>
                <w:bCs/>
                <w:lang w:val="bg-BG"/>
              </w:rPr>
              <w:t xml:space="preserve">справка за сумата на хипотетични приходи, които би реализирало задълженото предприятие при липса на задължение за предоставяне на универсална </w:t>
            </w:r>
            <w:r w:rsidRPr="00876A0C">
              <w:rPr>
                <w:bCs/>
                <w:lang w:val="bg-BG"/>
              </w:rPr>
              <w:lastRenderedPageBreak/>
              <w:t>услуга и сума на хипотетичните разходи, които би извършило задълженото предприятие при липса на задължение за предоставяне на универсална услуга, в т.ч. подробно описание и обосновка на начина на определяне на хипотетичните приходи и разходи</w:t>
            </w:r>
          </w:p>
        </w:tc>
      </w:tr>
      <w:tr w:rsidR="00DA31E1" w:rsidRPr="00A97655" w:rsidTr="0030748E">
        <w:tc>
          <w:tcPr>
            <w:tcW w:w="2610" w:type="dxa"/>
          </w:tcPr>
          <w:p w:rsidR="00DA31E1" w:rsidRPr="0096506B" w:rsidRDefault="00DA31E1" w:rsidP="00C3031F">
            <w:pPr>
              <w:rPr>
                <w:b/>
                <w:lang w:val="bg-BG"/>
              </w:rPr>
            </w:pPr>
            <w:r w:rsidRPr="0096506B">
              <w:rPr>
                <w:b/>
                <w:lang w:val="bg-BG"/>
              </w:rPr>
              <w:lastRenderedPageBreak/>
              <w:t>МФ</w:t>
            </w:r>
          </w:p>
        </w:tc>
        <w:tc>
          <w:tcPr>
            <w:tcW w:w="4230" w:type="dxa"/>
          </w:tcPr>
          <w:p w:rsidR="00DA31E1" w:rsidRPr="00A97655" w:rsidRDefault="00DA31E1" w:rsidP="00C3031F">
            <w:r w:rsidRPr="0049388F">
              <w:rPr>
                <w:lang w:val="bg-BG"/>
              </w:rPr>
              <w:t xml:space="preserve">МФ </w:t>
            </w:r>
            <w:r>
              <w:rPr>
                <w:lang w:val="bg-BG"/>
              </w:rPr>
              <w:t>посочва</w:t>
            </w:r>
            <w:r w:rsidRPr="0049388F">
              <w:rPr>
                <w:lang w:val="bg-BG"/>
              </w:rPr>
              <w:t xml:space="preserve">, че предвид текстовете на Решението на Комисията от 20 декември 2011 г.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обществен икономически интерес (2012/21/EC) (Решението на Комисията), Съобщението на Комисията за прилагането на правилата на Европейския съюз към компенсацията, предоставена за предоставянето на услуги от общ икономически интерес (УОИИ) (2012/C 8/02) и Директива (EC) 201/1972 на Европейския парламент и на Съвета от 11 декември 2018 г. за установяване на Европейски кодекс за електронните съобщения компенсирането на универсалната услуга следва да се предоставя само </w:t>
            </w:r>
            <w:r w:rsidRPr="0049388F">
              <w:rPr>
                <w:lang w:val="bg-BG"/>
              </w:rPr>
              <w:lastRenderedPageBreak/>
              <w:t>при условие, че пазарът не може да предостави услугата при необходимите условия като качество, достъпност, цена и др. без държавна намеса. В тази връзка МФ предлага да се прецени необходимостта от извършване на предварително проучване на пазара, което да обоснове нуждата от публично финансиране.</w:t>
            </w:r>
          </w:p>
        </w:tc>
        <w:tc>
          <w:tcPr>
            <w:tcW w:w="2520" w:type="dxa"/>
          </w:tcPr>
          <w:p w:rsidR="00DA31E1" w:rsidRPr="00A97655" w:rsidRDefault="00DA31E1" w:rsidP="00C3031F">
            <w:proofErr w:type="spellStart"/>
            <w:r w:rsidRPr="001936AE">
              <w:lastRenderedPageBreak/>
              <w:t>Не</w:t>
            </w:r>
            <w:proofErr w:type="spellEnd"/>
            <w:r w:rsidRPr="001936AE">
              <w:t xml:space="preserve"> </w:t>
            </w:r>
            <w:proofErr w:type="spellStart"/>
            <w:r w:rsidRPr="001936AE">
              <w:t>се</w:t>
            </w:r>
            <w:proofErr w:type="spellEnd"/>
            <w:r w:rsidRPr="001936AE">
              <w:t xml:space="preserve"> </w:t>
            </w:r>
            <w:proofErr w:type="spellStart"/>
            <w:r w:rsidRPr="001936AE">
              <w:t>приема</w:t>
            </w:r>
            <w:proofErr w:type="spellEnd"/>
          </w:p>
        </w:tc>
        <w:tc>
          <w:tcPr>
            <w:tcW w:w="4680" w:type="dxa"/>
          </w:tcPr>
          <w:p w:rsidR="00DA31E1" w:rsidRDefault="00DA31E1" w:rsidP="009252C6">
            <w:pPr>
              <w:jc w:val="both"/>
              <w:rPr>
                <w:lang w:val="bg-BG"/>
              </w:rPr>
            </w:pPr>
            <w:r>
              <w:rPr>
                <w:lang w:val="bg-BG"/>
              </w:rPr>
              <w:t xml:space="preserve">По отношение на предложението на МФ </w:t>
            </w:r>
            <w:r w:rsidRPr="001936AE">
              <w:rPr>
                <w:lang w:val="bg-BG"/>
              </w:rPr>
              <w:t>да се прецени необходимостта от извършване на пре</w:t>
            </w:r>
            <w:r w:rsidR="009252C6">
              <w:rPr>
                <w:lang w:val="bg-BG"/>
              </w:rPr>
              <w:t xml:space="preserve">дварително проучване на пазара: съгласно </w:t>
            </w:r>
            <w:r>
              <w:rPr>
                <w:lang w:val="bg-BG"/>
              </w:rPr>
              <w:t>чл. 188 ал</w:t>
            </w:r>
            <w:r w:rsidRPr="00365049">
              <w:rPr>
                <w:lang w:val="bg-BG"/>
              </w:rPr>
              <w:t>. 2</w:t>
            </w:r>
            <w:r w:rsidRPr="00876A0C">
              <w:t xml:space="preserve"> </w:t>
            </w:r>
            <w:r w:rsidRPr="00876A0C">
              <w:rPr>
                <w:lang w:val="bg-BG"/>
              </w:rPr>
              <w:t xml:space="preserve"> от ЗЕС </w:t>
            </w:r>
            <w:r w:rsidRPr="00365049">
              <w:rPr>
                <w:lang w:val="bg-BG"/>
              </w:rPr>
              <w:t>Комисията</w:t>
            </w:r>
            <w:r>
              <w:rPr>
                <w:lang w:val="bg-BG"/>
              </w:rPr>
              <w:t xml:space="preserve"> </w:t>
            </w:r>
            <w:r w:rsidRPr="001936AE">
              <w:rPr>
                <w:lang w:val="bg-BG"/>
              </w:rPr>
              <w:t>налага</w:t>
            </w:r>
            <w:r>
              <w:rPr>
                <w:lang w:val="bg-BG"/>
              </w:rPr>
              <w:t xml:space="preserve"> </w:t>
            </w:r>
            <w:r w:rsidRPr="001936AE">
              <w:rPr>
                <w:lang w:val="bg-BG"/>
              </w:rPr>
              <w:t>задълженията</w:t>
            </w:r>
            <w:r>
              <w:rPr>
                <w:lang w:val="bg-BG"/>
              </w:rPr>
              <w:t xml:space="preserve"> за предоставяне на услуги от обхвата на УУ</w:t>
            </w:r>
            <w:r w:rsidRPr="001936AE">
              <w:rPr>
                <w:lang w:val="bg-BG"/>
              </w:rPr>
              <w:t xml:space="preserve">, </w:t>
            </w:r>
            <w:r>
              <w:rPr>
                <w:lang w:val="bg-BG"/>
              </w:rPr>
              <w:t xml:space="preserve"> в</w:t>
            </w:r>
            <w:r w:rsidRPr="001936AE">
              <w:rPr>
                <w:lang w:val="bg-BG"/>
              </w:rPr>
              <w:t>земайки</w:t>
            </w:r>
            <w:r>
              <w:rPr>
                <w:lang w:val="bg-BG"/>
              </w:rPr>
              <w:t xml:space="preserve"> </w:t>
            </w:r>
            <w:r w:rsidRPr="001936AE">
              <w:rPr>
                <w:lang w:val="bg-BG"/>
              </w:rPr>
              <w:t>предвид</w:t>
            </w:r>
            <w:r>
              <w:rPr>
                <w:lang w:val="bg-BG"/>
              </w:rPr>
              <w:t xml:space="preserve"> </w:t>
            </w:r>
            <w:r w:rsidRPr="001936AE">
              <w:rPr>
                <w:lang w:val="bg-BG"/>
              </w:rPr>
              <w:t>резултатите</w:t>
            </w:r>
            <w:r>
              <w:rPr>
                <w:lang w:val="bg-BG"/>
              </w:rPr>
              <w:t xml:space="preserve"> </w:t>
            </w:r>
            <w:r w:rsidRPr="001936AE">
              <w:rPr>
                <w:lang w:val="bg-BG"/>
              </w:rPr>
              <w:t>от</w:t>
            </w:r>
            <w:r>
              <w:rPr>
                <w:lang w:val="bg-BG"/>
              </w:rPr>
              <w:t xml:space="preserve"> </w:t>
            </w:r>
            <w:r w:rsidRPr="001936AE">
              <w:rPr>
                <w:lang w:val="bg-BG"/>
              </w:rPr>
              <w:t>географското</w:t>
            </w:r>
            <w:r>
              <w:rPr>
                <w:lang w:val="bg-BG"/>
              </w:rPr>
              <w:t xml:space="preserve"> </w:t>
            </w:r>
            <w:r w:rsidRPr="001936AE">
              <w:rPr>
                <w:lang w:val="bg-BG"/>
              </w:rPr>
              <w:t>проучване</w:t>
            </w:r>
            <w:r>
              <w:rPr>
                <w:lang w:val="bg-BG"/>
              </w:rPr>
              <w:t xml:space="preserve"> </w:t>
            </w:r>
            <w:r w:rsidRPr="001936AE">
              <w:rPr>
                <w:lang w:val="bg-BG"/>
              </w:rPr>
              <w:t>по</w:t>
            </w:r>
            <w:r>
              <w:rPr>
                <w:lang w:val="bg-BG"/>
              </w:rPr>
              <w:t xml:space="preserve"> </w:t>
            </w:r>
            <w:r w:rsidRPr="001936AE">
              <w:rPr>
                <w:lang w:val="bg-BG"/>
              </w:rPr>
              <w:t>чл.181а,</w:t>
            </w:r>
            <w:r>
              <w:rPr>
                <w:lang w:val="bg-BG"/>
              </w:rPr>
              <w:t xml:space="preserve"> </w:t>
            </w:r>
            <w:r w:rsidRPr="001936AE">
              <w:rPr>
                <w:lang w:val="bg-BG"/>
              </w:rPr>
              <w:t>ако</w:t>
            </w:r>
            <w:r>
              <w:rPr>
                <w:lang w:val="bg-BG"/>
              </w:rPr>
              <w:t xml:space="preserve"> </w:t>
            </w:r>
            <w:r w:rsidRPr="001936AE">
              <w:rPr>
                <w:lang w:val="bg-BG"/>
              </w:rPr>
              <w:t>има</w:t>
            </w:r>
            <w:r>
              <w:rPr>
                <w:lang w:val="bg-BG"/>
              </w:rPr>
              <w:t xml:space="preserve"> </w:t>
            </w:r>
            <w:r w:rsidRPr="001936AE">
              <w:rPr>
                <w:lang w:val="bg-BG"/>
              </w:rPr>
              <w:t>такова,</w:t>
            </w:r>
            <w:r w:rsidR="00966FD2">
              <w:rPr>
                <w:lang w:val="bg-BG"/>
              </w:rPr>
              <w:t xml:space="preserve"> </w:t>
            </w:r>
            <w:r w:rsidRPr="001936AE">
              <w:rPr>
                <w:lang w:val="bg-BG"/>
              </w:rPr>
              <w:t>и</w:t>
            </w:r>
            <w:r>
              <w:rPr>
                <w:lang w:val="bg-BG"/>
              </w:rPr>
              <w:t xml:space="preserve"> </w:t>
            </w:r>
            <w:r w:rsidRPr="001936AE">
              <w:rPr>
                <w:lang w:val="bg-BG"/>
              </w:rPr>
              <w:t>всички</w:t>
            </w:r>
            <w:r>
              <w:rPr>
                <w:lang w:val="bg-BG"/>
              </w:rPr>
              <w:t xml:space="preserve"> </w:t>
            </w:r>
            <w:r w:rsidRPr="001936AE">
              <w:rPr>
                <w:lang w:val="bg-BG"/>
              </w:rPr>
              <w:t>допълнителни</w:t>
            </w:r>
            <w:r>
              <w:rPr>
                <w:lang w:val="bg-BG"/>
              </w:rPr>
              <w:t xml:space="preserve"> </w:t>
            </w:r>
            <w:r w:rsidRPr="001936AE">
              <w:rPr>
                <w:lang w:val="bg-BG"/>
              </w:rPr>
              <w:t>доказателства,</w:t>
            </w:r>
            <w:r>
              <w:rPr>
                <w:lang w:val="bg-BG"/>
              </w:rPr>
              <w:t xml:space="preserve"> </w:t>
            </w:r>
            <w:r w:rsidRPr="001936AE">
              <w:rPr>
                <w:lang w:val="bg-BG"/>
              </w:rPr>
              <w:t>установи,</w:t>
            </w:r>
            <w:r>
              <w:rPr>
                <w:lang w:val="bg-BG"/>
              </w:rPr>
              <w:t xml:space="preserve"> </w:t>
            </w:r>
            <w:r w:rsidRPr="001936AE">
              <w:rPr>
                <w:lang w:val="bg-BG"/>
              </w:rPr>
              <w:t>че</w:t>
            </w:r>
            <w:r>
              <w:rPr>
                <w:lang w:val="bg-BG"/>
              </w:rPr>
              <w:t xml:space="preserve"> </w:t>
            </w:r>
            <w:r w:rsidRPr="001936AE">
              <w:rPr>
                <w:lang w:val="bg-BG"/>
              </w:rPr>
              <w:t>наличността</w:t>
            </w:r>
            <w:r>
              <w:rPr>
                <w:lang w:val="bg-BG"/>
              </w:rPr>
              <w:t xml:space="preserve"> </w:t>
            </w:r>
            <w:r w:rsidRPr="001936AE">
              <w:rPr>
                <w:lang w:val="bg-BG"/>
              </w:rPr>
              <w:t>в</w:t>
            </w:r>
            <w:r>
              <w:rPr>
                <w:lang w:val="bg-BG"/>
              </w:rPr>
              <w:t xml:space="preserve"> </w:t>
            </w:r>
            <w:r w:rsidRPr="001936AE">
              <w:rPr>
                <w:lang w:val="bg-BG"/>
              </w:rPr>
              <w:t>определено</w:t>
            </w:r>
            <w:r>
              <w:rPr>
                <w:lang w:val="bg-BG"/>
              </w:rPr>
              <w:t xml:space="preserve"> </w:t>
            </w:r>
            <w:r w:rsidRPr="001936AE">
              <w:rPr>
                <w:lang w:val="bg-BG"/>
              </w:rPr>
              <w:t>местоположение</w:t>
            </w:r>
            <w:r>
              <w:rPr>
                <w:lang w:val="bg-BG"/>
              </w:rPr>
              <w:t xml:space="preserve"> </w:t>
            </w:r>
            <w:r w:rsidRPr="001936AE">
              <w:rPr>
                <w:lang w:val="bg-BG"/>
              </w:rPr>
              <w:t>на</w:t>
            </w:r>
            <w:r>
              <w:rPr>
                <w:lang w:val="bg-BG"/>
              </w:rPr>
              <w:t xml:space="preserve"> </w:t>
            </w:r>
            <w:r w:rsidRPr="001936AE">
              <w:rPr>
                <w:lang w:val="bg-BG"/>
              </w:rPr>
              <w:t>услуга</w:t>
            </w:r>
            <w:r>
              <w:rPr>
                <w:lang w:val="bg-BG"/>
              </w:rPr>
              <w:t xml:space="preserve"> </w:t>
            </w:r>
            <w:r w:rsidRPr="001936AE">
              <w:rPr>
                <w:lang w:val="bg-BG"/>
              </w:rPr>
              <w:t>за</w:t>
            </w:r>
            <w:r>
              <w:rPr>
                <w:lang w:val="bg-BG"/>
              </w:rPr>
              <w:t xml:space="preserve"> </w:t>
            </w:r>
            <w:r w:rsidRPr="001936AE">
              <w:rPr>
                <w:lang w:val="bg-BG"/>
              </w:rPr>
              <w:t>подходящ широколентов</w:t>
            </w:r>
            <w:r w:rsidR="009252C6">
              <w:rPr>
                <w:lang w:val="bg-BG"/>
              </w:rPr>
              <w:t xml:space="preserve"> </w:t>
            </w:r>
            <w:r>
              <w:rPr>
                <w:lang w:val="bg-BG"/>
              </w:rPr>
              <w:t>д</w:t>
            </w:r>
            <w:r w:rsidRPr="001936AE">
              <w:rPr>
                <w:lang w:val="bg-BG"/>
              </w:rPr>
              <w:t>остъп</w:t>
            </w:r>
            <w:r>
              <w:rPr>
                <w:lang w:val="bg-BG"/>
              </w:rPr>
              <w:t xml:space="preserve"> </w:t>
            </w:r>
            <w:r w:rsidRPr="001936AE">
              <w:rPr>
                <w:lang w:val="bg-BG"/>
              </w:rPr>
              <w:t>до</w:t>
            </w:r>
            <w:r>
              <w:rPr>
                <w:lang w:val="bg-BG"/>
              </w:rPr>
              <w:t xml:space="preserve"> </w:t>
            </w:r>
            <w:r w:rsidRPr="001936AE">
              <w:rPr>
                <w:lang w:val="bg-BG"/>
              </w:rPr>
              <w:t>интернет</w:t>
            </w:r>
            <w:r>
              <w:rPr>
                <w:lang w:val="bg-BG"/>
              </w:rPr>
              <w:t xml:space="preserve"> </w:t>
            </w:r>
            <w:r w:rsidRPr="001936AE">
              <w:rPr>
                <w:lang w:val="bg-BG"/>
              </w:rPr>
              <w:t>и</w:t>
            </w:r>
            <w:r>
              <w:rPr>
                <w:lang w:val="bg-BG"/>
              </w:rPr>
              <w:t xml:space="preserve"> </w:t>
            </w:r>
            <w:r w:rsidRPr="001936AE">
              <w:rPr>
                <w:lang w:val="bg-BG"/>
              </w:rPr>
              <w:t>на</w:t>
            </w:r>
            <w:r>
              <w:rPr>
                <w:lang w:val="bg-BG"/>
              </w:rPr>
              <w:t xml:space="preserve"> </w:t>
            </w:r>
            <w:r w:rsidRPr="001936AE">
              <w:rPr>
                <w:lang w:val="bg-BG"/>
              </w:rPr>
              <w:t>услуги</w:t>
            </w:r>
            <w:r>
              <w:rPr>
                <w:lang w:val="bg-BG"/>
              </w:rPr>
              <w:t xml:space="preserve"> </w:t>
            </w:r>
            <w:r w:rsidRPr="001936AE">
              <w:rPr>
                <w:lang w:val="bg-BG"/>
              </w:rPr>
              <w:t>за</w:t>
            </w:r>
            <w:r>
              <w:rPr>
                <w:lang w:val="bg-BG"/>
              </w:rPr>
              <w:t xml:space="preserve"> </w:t>
            </w:r>
            <w:r w:rsidRPr="001936AE">
              <w:rPr>
                <w:lang w:val="bg-BG"/>
              </w:rPr>
              <w:t>гласови</w:t>
            </w:r>
            <w:r>
              <w:rPr>
                <w:lang w:val="bg-BG"/>
              </w:rPr>
              <w:t xml:space="preserve"> </w:t>
            </w:r>
            <w:r w:rsidRPr="001936AE">
              <w:rPr>
                <w:lang w:val="bg-BG"/>
              </w:rPr>
              <w:t>съобщения</w:t>
            </w:r>
            <w:r>
              <w:rPr>
                <w:lang w:val="bg-BG"/>
              </w:rPr>
              <w:t xml:space="preserve"> </w:t>
            </w:r>
            <w:r w:rsidRPr="001936AE">
              <w:rPr>
                <w:lang w:val="bg-BG"/>
              </w:rPr>
              <w:t>не</w:t>
            </w:r>
            <w:r>
              <w:rPr>
                <w:lang w:val="bg-BG"/>
              </w:rPr>
              <w:t xml:space="preserve"> </w:t>
            </w:r>
            <w:r w:rsidRPr="001936AE">
              <w:rPr>
                <w:lang w:val="bg-BG"/>
              </w:rPr>
              <w:t>може</w:t>
            </w:r>
            <w:r>
              <w:rPr>
                <w:lang w:val="bg-BG"/>
              </w:rPr>
              <w:t xml:space="preserve"> </w:t>
            </w:r>
            <w:r w:rsidRPr="001936AE">
              <w:rPr>
                <w:lang w:val="bg-BG"/>
              </w:rPr>
              <w:t>да</w:t>
            </w:r>
            <w:r>
              <w:rPr>
                <w:lang w:val="bg-BG"/>
              </w:rPr>
              <w:t xml:space="preserve"> </w:t>
            </w:r>
            <w:r w:rsidRPr="001936AE">
              <w:rPr>
                <w:lang w:val="bg-BG"/>
              </w:rPr>
              <w:t>бъде</w:t>
            </w:r>
            <w:r>
              <w:rPr>
                <w:lang w:val="bg-BG"/>
              </w:rPr>
              <w:t xml:space="preserve"> </w:t>
            </w:r>
            <w:r w:rsidRPr="001936AE">
              <w:rPr>
                <w:lang w:val="bg-BG"/>
              </w:rPr>
              <w:t>осигурена</w:t>
            </w:r>
            <w:r>
              <w:rPr>
                <w:lang w:val="bg-BG"/>
              </w:rPr>
              <w:t xml:space="preserve"> </w:t>
            </w:r>
            <w:r w:rsidRPr="001936AE">
              <w:rPr>
                <w:lang w:val="bg-BG"/>
              </w:rPr>
              <w:t>при</w:t>
            </w:r>
            <w:r>
              <w:rPr>
                <w:lang w:val="bg-BG"/>
              </w:rPr>
              <w:t xml:space="preserve"> </w:t>
            </w:r>
            <w:r w:rsidRPr="001936AE">
              <w:rPr>
                <w:lang w:val="bg-BG"/>
              </w:rPr>
              <w:t>обичайни</w:t>
            </w:r>
            <w:r w:rsidR="009252C6">
              <w:rPr>
                <w:lang w:val="bg-BG"/>
              </w:rPr>
              <w:t xml:space="preserve"> </w:t>
            </w:r>
            <w:r w:rsidRPr="001936AE">
              <w:rPr>
                <w:lang w:val="bg-BG"/>
              </w:rPr>
              <w:t>търговски</w:t>
            </w:r>
            <w:r>
              <w:rPr>
                <w:lang w:val="bg-BG"/>
              </w:rPr>
              <w:t xml:space="preserve"> </w:t>
            </w:r>
            <w:r w:rsidRPr="001936AE">
              <w:rPr>
                <w:lang w:val="bg-BG"/>
              </w:rPr>
              <w:t>условия</w:t>
            </w:r>
            <w:r>
              <w:rPr>
                <w:lang w:val="bg-BG"/>
              </w:rPr>
              <w:t xml:space="preserve"> </w:t>
            </w:r>
            <w:r w:rsidRPr="001936AE">
              <w:rPr>
                <w:lang w:val="bg-BG"/>
              </w:rPr>
              <w:t>на</w:t>
            </w:r>
            <w:r>
              <w:rPr>
                <w:lang w:val="bg-BG"/>
              </w:rPr>
              <w:t xml:space="preserve"> </w:t>
            </w:r>
            <w:r w:rsidRPr="001936AE">
              <w:rPr>
                <w:lang w:val="bg-BG"/>
              </w:rPr>
              <w:t>територията</w:t>
            </w:r>
            <w:r>
              <w:rPr>
                <w:lang w:val="bg-BG"/>
              </w:rPr>
              <w:t xml:space="preserve"> </w:t>
            </w:r>
            <w:r w:rsidRPr="001936AE">
              <w:rPr>
                <w:lang w:val="bg-BG"/>
              </w:rPr>
              <w:t>на</w:t>
            </w:r>
            <w:r>
              <w:rPr>
                <w:lang w:val="bg-BG"/>
              </w:rPr>
              <w:t xml:space="preserve"> </w:t>
            </w:r>
            <w:r w:rsidRPr="001936AE">
              <w:rPr>
                <w:lang w:val="bg-BG"/>
              </w:rPr>
              <w:t>цялата</w:t>
            </w:r>
            <w:r>
              <w:rPr>
                <w:lang w:val="bg-BG"/>
              </w:rPr>
              <w:t xml:space="preserve"> </w:t>
            </w:r>
            <w:r w:rsidRPr="001936AE">
              <w:rPr>
                <w:lang w:val="bg-BG"/>
              </w:rPr>
              <w:t>страна</w:t>
            </w:r>
            <w:r>
              <w:rPr>
                <w:lang w:val="bg-BG"/>
              </w:rPr>
              <w:t xml:space="preserve"> </w:t>
            </w:r>
            <w:r w:rsidRPr="001936AE">
              <w:rPr>
                <w:lang w:val="bg-BG"/>
              </w:rPr>
              <w:t>или</w:t>
            </w:r>
            <w:r>
              <w:rPr>
                <w:lang w:val="bg-BG"/>
              </w:rPr>
              <w:t xml:space="preserve"> </w:t>
            </w:r>
            <w:r w:rsidRPr="001936AE">
              <w:rPr>
                <w:lang w:val="bg-BG"/>
              </w:rPr>
              <w:t>в</w:t>
            </w:r>
            <w:r>
              <w:rPr>
                <w:lang w:val="bg-BG"/>
              </w:rPr>
              <w:t xml:space="preserve"> </w:t>
            </w:r>
            <w:r w:rsidRPr="001936AE">
              <w:rPr>
                <w:lang w:val="bg-BG"/>
              </w:rPr>
              <w:t>различни</w:t>
            </w:r>
            <w:r>
              <w:rPr>
                <w:lang w:val="bg-BG"/>
              </w:rPr>
              <w:t xml:space="preserve"> </w:t>
            </w:r>
            <w:r w:rsidRPr="001936AE">
              <w:rPr>
                <w:lang w:val="bg-BG"/>
              </w:rPr>
              <w:t>части</w:t>
            </w:r>
            <w:r>
              <w:rPr>
                <w:lang w:val="bg-BG"/>
              </w:rPr>
              <w:t xml:space="preserve"> </w:t>
            </w:r>
            <w:r w:rsidRPr="001936AE">
              <w:rPr>
                <w:lang w:val="bg-BG"/>
              </w:rPr>
              <w:t>от</w:t>
            </w:r>
            <w:r>
              <w:rPr>
                <w:lang w:val="bg-BG"/>
              </w:rPr>
              <w:t xml:space="preserve"> </w:t>
            </w:r>
            <w:r w:rsidRPr="001936AE">
              <w:rPr>
                <w:lang w:val="bg-BG"/>
              </w:rPr>
              <w:t>нея.</w:t>
            </w:r>
            <w:r>
              <w:rPr>
                <w:lang w:val="bg-BG"/>
              </w:rPr>
              <w:t xml:space="preserve"> В този смисъл КРС извършва предварителен анализ на необходимостта от налагане на задължения за предоставяне на универсалната услуга с цел гарантиране на достъп на всички граждани на цялата територия на страната в съответствие с чл. 182, ал. 1 от ЗЕС.</w:t>
            </w:r>
          </w:p>
          <w:p w:rsidR="00DA31E1" w:rsidRDefault="00DA31E1" w:rsidP="00C3031F">
            <w:pPr>
              <w:rPr>
                <w:lang w:val="bg-BG"/>
              </w:rPr>
            </w:pPr>
            <w:r>
              <w:rPr>
                <w:lang w:val="bg-BG"/>
              </w:rPr>
              <w:t xml:space="preserve">Що се отнася до публичното финансиране, задълженото предприятие има възможност </w:t>
            </w:r>
            <w:r>
              <w:rPr>
                <w:lang w:val="bg-BG"/>
              </w:rPr>
              <w:lastRenderedPageBreak/>
              <w:t xml:space="preserve">да кандидатства за компенсиране на нетните разходи във връзка със задълженията за предоставяне на универсална услуга в случай, че тези разходи представляват несправедлива тежест за съответното предприятие съгласно чл. 200, ал. 1 от ЗЕС. </w:t>
            </w:r>
          </w:p>
          <w:p w:rsidR="00DA31E1" w:rsidRDefault="00DA31E1" w:rsidP="00C3031F">
            <w:pPr>
              <w:rPr>
                <w:lang w:val="bg-BG"/>
              </w:rPr>
            </w:pPr>
            <w:r>
              <w:rPr>
                <w:lang w:val="bg-BG"/>
              </w:rPr>
              <w:t xml:space="preserve">Наличието на несправедлива тежест се определя въз основа на нетните разходи и при отчитане на нематериалните преимущества за предприятието, при условие че предоставянето на универсалната услуга води до загуби или се предлага на цени под разумната норма на печалба според чл. 200, ал. 2 от ЗЕС. </w:t>
            </w:r>
          </w:p>
          <w:p w:rsidR="00DA31E1" w:rsidRPr="00876A0C" w:rsidRDefault="00DA31E1" w:rsidP="00C3031F">
            <w:pPr>
              <w:rPr>
                <w:lang w:val="bg-BG"/>
              </w:rPr>
            </w:pPr>
            <w:r>
              <w:rPr>
                <w:lang w:val="bg-BG"/>
              </w:rPr>
              <w:t>В тази връзка възлагането на задължения във връзка с предоставяне на универсалната услуга не е обвързано с компенсиране на нетни разходи, когато това не представлява несправедлива тежест за задължените предприятия</w:t>
            </w:r>
          </w:p>
        </w:tc>
      </w:tr>
      <w:tr w:rsidR="00DA31E1" w:rsidRPr="00A97655" w:rsidTr="0030748E">
        <w:tc>
          <w:tcPr>
            <w:tcW w:w="2610" w:type="dxa"/>
          </w:tcPr>
          <w:p w:rsidR="00DA31E1" w:rsidRPr="0096506B" w:rsidRDefault="00DA31E1" w:rsidP="00C3031F">
            <w:pPr>
              <w:rPr>
                <w:b/>
                <w:lang w:val="bg-BG"/>
              </w:rPr>
            </w:pPr>
            <w:r w:rsidRPr="0096506B">
              <w:rPr>
                <w:b/>
                <w:lang w:val="bg-BG"/>
              </w:rPr>
              <w:lastRenderedPageBreak/>
              <w:t>МФ</w:t>
            </w:r>
          </w:p>
        </w:tc>
        <w:tc>
          <w:tcPr>
            <w:tcW w:w="4230" w:type="dxa"/>
          </w:tcPr>
          <w:p w:rsidR="00DA31E1" w:rsidRPr="0049388F" w:rsidRDefault="00DA31E1" w:rsidP="00C3031F">
            <w:pPr>
              <w:rPr>
                <w:lang w:val="bg-BG"/>
              </w:rPr>
            </w:pPr>
            <w:r w:rsidRPr="0049388F">
              <w:rPr>
                <w:lang w:val="bg-BG"/>
              </w:rPr>
              <w:t xml:space="preserve">В заключение, </w:t>
            </w:r>
            <w:r>
              <w:rPr>
                <w:lang w:val="bg-BG"/>
              </w:rPr>
              <w:t xml:space="preserve">МФ </w:t>
            </w:r>
            <w:r w:rsidRPr="0049388F">
              <w:rPr>
                <w:lang w:val="bg-BG"/>
              </w:rPr>
              <w:t>обръща внимание, че ако по време на периода на възлагане престанат да бъдат спазвани условията на Решението на Комисията, компенсацията следва да се предоставя съгласно Рамката на Европейския съюз за дър</w:t>
            </w:r>
            <w:r>
              <w:rPr>
                <w:lang w:val="bg-BG"/>
              </w:rPr>
              <w:t>ж</w:t>
            </w:r>
            <w:r w:rsidRPr="0049388F">
              <w:rPr>
                <w:lang w:val="bg-BG"/>
              </w:rPr>
              <w:t>авна помощ под формата на компенсации за обществени услуги (2012/С 8/03)</w:t>
            </w:r>
            <w:r>
              <w:rPr>
                <w:lang w:val="bg-BG"/>
              </w:rPr>
              <w:t>,</w:t>
            </w:r>
            <w:r w:rsidRPr="0049388F">
              <w:rPr>
                <w:lang w:val="bg-BG"/>
              </w:rPr>
              <w:t xml:space="preserve"> която изисква съвместимостта на публичното подпомагане да бъде предварително оценена от Комисията </w:t>
            </w:r>
            <w:r w:rsidRPr="0049388F">
              <w:rPr>
                <w:lang w:val="bg-BG"/>
              </w:rPr>
              <w:lastRenderedPageBreak/>
              <w:t>преди да бъде предоставено на предприятието.</w:t>
            </w:r>
          </w:p>
        </w:tc>
        <w:tc>
          <w:tcPr>
            <w:tcW w:w="2520" w:type="dxa"/>
          </w:tcPr>
          <w:p w:rsidR="00DA31E1" w:rsidRPr="00A97655" w:rsidRDefault="00DA31E1" w:rsidP="00C3031F">
            <w:proofErr w:type="spellStart"/>
            <w:r w:rsidRPr="0053598C">
              <w:lastRenderedPageBreak/>
              <w:t>Не</w:t>
            </w:r>
            <w:proofErr w:type="spellEnd"/>
            <w:r w:rsidRPr="0053598C">
              <w:t xml:space="preserve"> </w:t>
            </w:r>
            <w:proofErr w:type="spellStart"/>
            <w:r w:rsidRPr="0053598C">
              <w:t>се</w:t>
            </w:r>
            <w:proofErr w:type="spellEnd"/>
            <w:r w:rsidRPr="0053598C">
              <w:t xml:space="preserve"> </w:t>
            </w:r>
            <w:proofErr w:type="spellStart"/>
            <w:r w:rsidRPr="0053598C">
              <w:t>приема</w:t>
            </w:r>
            <w:proofErr w:type="spellEnd"/>
          </w:p>
        </w:tc>
        <w:tc>
          <w:tcPr>
            <w:tcW w:w="4680" w:type="dxa"/>
          </w:tcPr>
          <w:p w:rsidR="00DA31E1" w:rsidRDefault="00DA31E1" w:rsidP="00C3031F">
            <w:pPr>
              <w:rPr>
                <w:lang w:val="bg-BG"/>
              </w:rPr>
            </w:pPr>
            <w:r>
              <w:rPr>
                <w:lang w:val="bg-BG"/>
              </w:rPr>
              <w:t>По отношение на предложението на МФ</w:t>
            </w:r>
            <w:r>
              <w:t xml:space="preserve"> </w:t>
            </w:r>
            <w:r>
              <w:rPr>
                <w:lang w:val="bg-BG"/>
              </w:rPr>
              <w:t>за предварително оценяване</w:t>
            </w:r>
            <w:r w:rsidRPr="0053598C">
              <w:rPr>
                <w:lang w:val="bg-BG"/>
              </w:rPr>
              <w:t xml:space="preserve"> от Комисията преди да бъде предоставено </w:t>
            </w:r>
            <w:r>
              <w:rPr>
                <w:lang w:val="bg-BG"/>
              </w:rPr>
              <w:t>възстановяването на нетните разходи от предост</w:t>
            </w:r>
            <w:r w:rsidR="009252C6">
              <w:rPr>
                <w:lang w:val="bg-BG"/>
              </w:rPr>
              <w:t xml:space="preserve">авянето на УУ на предприятието: </w:t>
            </w:r>
            <w:r>
              <w:rPr>
                <w:lang w:val="bg-BG"/>
              </w:rPr>
              <w:t>в ЗЕС чл. 191 ал. 1 е предвидено п</w:t>
            </w:r>
            <w:r w:rsidRPr="0053598C">
              <w:rPr>
                <w:lang w:val="bg-BG"/>
              </w:rPr>
              <w:t>ри</w:t>
            </w:r>
            <w:r>
              <w:rPr>
                <w:lang w:val="bg-BG"/>
              </w:rPr>
              <w:t xml:space="preserve"> </w:t>
            </w:r>
            <w:r w:rsidRPr="0053598C">
              <w:rPr>
                <w:lang w:val="bg-BG"/>
              </w:rPr>
              <w:t>налагане</w:t>
            </w:r>
            <w:r>
              <w:rPr>
                <w:lang w:val="bg-BG"/>
              </w:rPr>
              <w:t xml:space="preserve"> </w:t>
            </w:r>
            <w:r w:rsidRPr="0053598C">
              <w:rPr>
                <w:lang w:val="bg-BG"/>
              </w:rPr>
              <w:t>на</w:t>
            </w:r>
            <w:r>
              <w:rPr>
                <w:lang w:val="bg-BG"/>
              </w:rPr>
              <w:t xml:space="preserve"> </w:t>
            </w:r>
            <w:r w:rsidRPr="0053598C">
              <w:rPr>
                <w:lang w:val="bg-BG"/>
              </w:rPr>
              <w:t>задълженията</w:t>
            </w:r>
            <w:r>
              <w:rPr>
                <w:lang w:val="bg-BG"/>
              </w:rPr>
              <w:t xml:space="preserve"> за предоставяне на услуги от обхвата на УУ</w:t>
            </w:r>
            <w:r w:rsidRPr="0053598C">
              <w:rPr>
                <w:lang w:val="bg-BG"/>
              </w:rPr>
              <w:t xml:space="preserve"> комисията</w:t>
            </w:r>
            <w:r>
              <w:rPr>
                <w:lang w:val="bg-BG"/>
              </w:rPr>
              <w:t xml:space="preserve"> да </w:t>
            </w:r>
            <w:r w:rsidRPr="0053598C">
              <w:rPr>
                <w:lang w:val="bg-BG"/>
              </w:rPr>
              <w:t>отчита</w:t>
            </w:r>
            <w:r>
              <w:rPr>
                <w:lang w:val="bg-BG"/>
              </w:rPr>
              <w:t xml:space="preserve"> </w:t>
            </w:r>
            <w:r w:rsidRPr="0053598C">
              <w:rPr>
                <w:lang w:val="bg-BG"/>
              </w:rPr>
              <w:t>най-целесъобразния</w:t>
            </w:r>
            <w:r>
              <w:rPr>
                <w:lang w:val="bg-BG"/>
              </w:rPr>
              <w:t xml:space="preserve"> </w:t>
            </w:r>
            <w:r w:rsidRPr="0053598C">
              <w:rPr>
                <w:lang w:val="bg-BG"/>
              </w:rPr>
              <w:t>и</w:t>
            </w:r>
            <w:r>
              <w:rPr>
                <w:lang w:val="bg-BG"/>
              </w:rPr>
              <w:t xml:space="preserve"> </w:t>
            </w:r>
            <w:r w:rsidRPr="0053598C">
              <w:rPr>
                <w:lang w:val="bg-BG"/>
              </w:rPr>
              <w:t>ефикасен</w:t>
            </w:r>
            <w:r>
              <w:rPr>
                <w:lang w:val="bg-BG"/>
              </w:rPr>
              <w:t xml:space="preserve"> </w:t>
            </w:r>
            <w:r w:rsidRPr="0053598C">
              <w:rPr>
                <w:lang w:val="bg-BG"/>
              </w:rPr>
              <w:t>начин</w:t>
            </w:r>
            <w:r>
              <w:rPr>
                <w:lang w:val="bg-BG"/>
              </w:rPr>
              <w:t xml:space="preserve"> </w:t>
            </w:r>
            <w:r w:rsidRPr="0053598C">
              <w:rPr>
                <w:lang w:val="bg-BG"/>
              </w:rPr>
              <w:t>за</w:t>
            </w:r>
            <w:r>
              <w:rPr>
                <w:lang w:val="bg-BG"/>
              </w:rPr>
              <w:t xml:space="preserve"> </w:t>
            </w:r>
            <w:r w:rsidRPr="0053598C">
              <w:rPr>
                <w:lang w:val="bg-BG"/>
              </w:rPr>
              <w:t>предоставяне</w:t>
            </w:r>
            <w:r>
              <w:rPr>
                <w:lang w:val="bg-BG"/>
              </w:rPr>
              <w:t xml:space="preserve"> </w:t>
            </w:r>
            <w:r w:rsidRPr="0053598C">
              <w:rPr>
                <w:lang w:val="bg-BG"/>
              </w:rPr>
              <w:t>на</w:t>
            </w:r>
            <w:r>
              <w:rPr>
                <w:lang w:val="bg-BG"/>
              </w:rPr>
              <w:t xml:space="preserve"> </w:t>
            </w:r>
            <w:r w:rsidRPr="0053598C">
              <w:rPr>
                <w:lang w:val="bg-BG"/>
              </w:rPr>
              <w:t>универсалната</w:t>
            </w:r>
            <w:r>
              <w:rPr>
                <w:lang w:val="bg-BG"/>
              </w:rPr>
              <w:t xml:space="preserve"> </w:t>
            </w:r>
            <w:r w:rsidRPr="0053598C">
              <w:rPr>
                <w:lang w:val="bg-BG"/>
              </w:rPr>
              <w:t>услуга,</w:t>
            </w:r>
            <w:r>
              <w:rPr>
                <w:lang w:val="bg-BG"/>
              </w:rPr>
              <w:t xml:space="preserve"> </w:t>
            </w:r>
            <w:r w:rsidRPr="0053598C">
              <w:rPr>
                <w:lang w:val="bg-BG"/>
              </w:rPr>
              <w:t>който</w:t>
            </w:r>
            <w:r>
              <w:rPr>
                <w:lang w:val="bg-BG"/>
              </w:rPr>
              <w:t xml:space="preserve"> </w:t>
            </w:r>
            <w:r w:rsidRPr="0053598C">
              <w:rPr>
                <w:lang w:val="bg-BG"/>
              </w:rPr>
              <w:t>може</w:t>
            </w:r>
            <w:r>
              <w:rPr>
                <w:lang w:val="bg-BG"/>
              </w:rPr>
              <w:t xml:space="preserve"> </w:t>
            </w:r>
            <w:r w:rsidRPr="0053598C">
              <w:rPr>
                <w:lang w:val="bg-BG"/>
              </w:rPr>
              <w:t>да</w:t>
            </w:r>
            <w:r>
              <w:rPr>
                <w:lang w:val="bg-BG"/>
              </w:rPr>
              <w:t xml:space="preserve"> с</w:t>
            </w:r>
            <w:r w:rsidRPr="0053598C">
              <w:rPr>
                <w:lang w:val="bg-BG"/>
              </w:rPr>
              <w:t>лужи</w:t>
            </w:r>
            <w:r>
              <w:rPr>
                <w:lang w:val="bg-BG"/>
              </w:rPr>
              <w:t xml:space="preserve"> </w:t>
            </w:r>
            <w:r w:rsidRPr="0053598C">
              <w:rPr>
                <w:lang w:val="bg-BG"/>
              </w:rPr>
              <w:t>за</w:t>
            </w:r>
            <w:r>
              <w:rPr>
                <w:lang w:val="bg-BG"/>
              </w:rPr>
              <w:t xml:space="preserve"> </w:t>
            </w:r>
            <w:r w:rsidRPr="0053598C">
              <w:rPr>
                <w:lang w:val="bg-BG"/>
              </w:rPr>
              <w:t>определяне</w:t>
            </w:r>
            <w:r>
              <w:rPr>
                <w:lang w:val="bg-BG"/>
              </w:rPr>
              <w:t xml:space="preserve"> </w:t>
            </w:r>
            <w:r w:rsidRPr="0053598C">
              <w:rPr>
                <w:lang w:val="bg-BG"/>
              </w:rPr>
              <w:t>на</w:t>
            </w:r>
            <w:r>
              <w:rPr>
                <w:lang w:val="bg-BG"/>
              </w:rPr>
              <w:t xml:space="preserve"> </w:t>
            </w:r>
            <w:r w:rsidRPr="0053598C">
              <w:rPr>
                <w:lang w:val="bg-BG"/>
              </w:rPr>
              <w:t>нетна</w:t>
            </w:r>
            <w:r>
              <w:rPr>
                <w:lang w:val="bg-BG"/>
              </w:rPr>
              <w:t xml:space="preserve"> </w:t>
            </w:r>
            <w:r w:rsidRPr="0053598C">
              <w:rPr>
                <w:lang w:val="bg-BG"/>
              </w:rPr>
              <w:t>себестойност</w:t>
            </w:r>
            <w:r>
              <w:rPr>
                <w:lang w:val="bg-BG"/>
              </w:rPr>
              <w:t xml:space="preserve"> </w:t>
            </w:r>
            <w:r w:rsidRPr="0053598C">
              <w:rPr>
                <w:lang w:val="bg-BG"/>
              </w:rPr>
              <w:t>на</w:t>
            </w:r>
            <w:r>
              <w:rPr>
                <w:lang w:val="bg-BG"/>
              </w:rPr>
              <w:t xml:space="preserve"> </w:t>
            </w:r>
            <w:r w:rsidRPr="0053598C">
              <w:rPr>
                <w:lang w:val="bg-BG"/>
              </w:rPr>
              <w:lastRenderedPageBreak/>
              <w:t>задължението</w:t>
            </w:r>
            <w:r>
              <w:rPr>
                <w:lang w:val="bg-BG"/>
              </w:rPr>
              <w:t xml:space="preserve"> </w:t>
            </w:r>
            <w:r w:rsidRPr="0053598C">
              <w:rPr>
                <w:lang w:val="bg-BG"/>
              </w:rPr>
              <w:t>за</w:t>
            </w:r>
            <w:r>
              <w:rPr>
                <w:lang w:val="bg-BG"/>
              </w:rPr>
              <w:t xml:space="preserve"> </w:t>
            </w:r>
            <w:r w:rsidRPr="0053598C">
              <w:rPr>
                <w:lang w:val="bg-BG"/>
              </w:rPr>
              <w:t>предоставяне</w:t>
            </w:r>
            <w:r>
              <w:rPr>
                <w:lang w:val="bg-BG"/>
              </w:rPr>
              <w:t xml:space="preserve"> </w:t>
            </w:r>
            <w:r w:rsidRPr="0053598C">
              <w:rPr>
                <w:lang w:val="bg-BG"/>
              </w:rPr>
              <w:t>на</w:t>
            </w:r>
            <w:r>
              <w:rPr>
                <w:lang w:val="bg-BG"/>
              </w:rPr>
              <w:t xml:space="preserve"> </w:t>
            </w:r>
            <w:r w:rsidRPr="0053598C">
              <w:rPr>
                <w:lang w:val="bg-BG"/>
              </w:rPr>
              <w:t>универсална</w:t>
            </w:r>
            <w:r>
              <w:rPr>
                <w:lang w:val="bg-BG"/>
              </w:rPr>
              <w:t xml:space="preserve"> </w:t>
            </w:r>
            <w:r w:rsidRPr="0053598C">
              <w:rPr>
                <w:lang w:val="bg-BG"/>
              </w:rPr>
              <w:t>услуга</w:t>
            </w:r>
            <w:r>
              <w:rPr>
                <w:lang w:val="bg-BG"/>
              </w:rPr>
              <w:t xml:space="preserve">. </w:t>
            </w:r>
          </w:p>
          <w:p w:rsidR="00DA31E1" w:rsidRPr="00876A0C" w:rsidRDefault="00DA31E1" w:rsidP="00C3031F">
            <w:pPr>
              <w:rPr>
                <w:lang w:val="bg-BG"/>
              </w:rPr>
            </w:pPr>
            <w:r>
              <w:rPr>
                <w:lang w:val="bg-BG"/>
              </w:rPr>
              <w:t>Наред с това в рамките на процедурата за компенсиране на нетни разходи от предоставяне на универсалната услуга, Комисията проверява предоставената от заявителите информация, като може да възложи проверка и след приключване на проверката, КРС дава становище дали доказаните нетни разходи представляват несправедлива тежест за предприятието. В този смисъл ЗЕС предвижда предварителната оценка, която се предлага от страна на МФ.</w:t>
            </w:r>
          </w:p>
        </w:tc>
      </w:tr>
    </w:tbl>
    <w:p w:rsidR="00DA31E1" w:rsidRDefault="00DA31E1"/>
    <w:sectPr w:rsidR="00DA31E1" w:rsidSect="006B475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75" w:rsidRDefault="002F2475" w:rsidP="00560F1A">
      <w:r>
        <w:separator/>
      </w:r>
    </w:p>
  </w:endnote>
  <w:endnote w:type="continuationSeparator" w:id="0">
    <w:p w:rsidR="002F2475" w:rsidRDefault="002F2475" w:rsidP="0056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037324"/>
      <w:docPartObj>
        <w:docPartGallery w:val="Page Numbers (Bottom of Page)"/>
        <w:docPartUnique/>
      </w:docPartObj>
    </w:sdtPr>
    <w:sdtEndPr>
      <w:rPr>
        <w:noProof/>
      </w:rPr>
    </w:sdtEndPr>
    <w:sdtContent>
      <w:p w:rsidR="0030748E" w:rsidRDefault="0030748E">
        <w:pPr>
          <w:pStyle w:val="Footer"/>
          <w:jc w:val="right"/>
        </w:pPr>
        <w:r>
          <w:fldChar w:fldCharType="begin"/>
        </w:r>
        <w:r>
          <w:instrText xml:space="preserve"> PAGE   \* MERGEFORMAT </w:instrText>
        </w:r>
        <w:r>
          <w:fldChar w:fldCharType="separate"/>
        </w:r>
        <w:r w:rsidR="00F01C5F">
          <w:rPr>
            <w:noProof/>
          </w:rPr>
          <w:t>15</w:t>
        </w:r>
        <w:r>
          <w:rPr>
            <w:noProof/>
          </w:rPr>
          <w:fldChar w:fldCharType="end"/>
        </w:r>
      </w:p>
    </w:sdtContent>
  </w:sdt>
  <w:p w:rsidR="0030748E" w:rsidRDefault="003074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75" w:rsidRDefault="002F2475" w:rsidP="00560F1A">
      <w:r>
        <w:separator/>
      </w:r>
    </w:p>
  </w:footnote>
  <w:footnote w:type="continuationSeparator" w:id="0">
    <w:p w:rsidR="002F2475" w:rsidRDefault="002F2475" w:rsidP="00560F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460" w:rsidRDefault="00313460" w:rsidP="00313460">
    <w:pPr>
      <w:pStyle w:val="Header"/>
      <w:jc w:val="right"/>
      <w:rPr>
        <w:b/>
        <w:lang w:val="bg-BG"/>
      </w:rPr>
    </w:pPr>
    <w:r w:rsidRPr="003A6C70">
      <w:rPr>
        <w:b/>
        <w:lang w:val="bg-BG"/>
      </w:rPr>
      <w:t xml:space="preserve">Приложение </w:t>
    </w:r>
    <w:r>
      <w:rPr>
        <w:b/>
        <w:lang w:val="bg-BG"/>
      </w:rPr>
      <w:t xml:space="preserve">1 към решение </w:t>
    </w:r>
    <w:r w:rsidRPr="003A6C70">
      <w:rPr>
        <w:b/>
        <w:lang w:val="bg-BG"/>
      </w:rPr>
      <w:t>№</w:t>
    </w:r>
    <w:r>
      <w:rPr>
        <w:b/>
        <w:lang w:val="bg-BG"/>
      </w:rPr>
      <w:t xml:space="preserve"> 386/17.11.2022 г. на КРС</w:t>
    </w:r>
  </w:p>
  <w:p w:rsidR="00E464DD" w:rsidRPr="00313460" w:rsidRDefault="00E464DD" w:rsidP="003134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D3C82"/>
    <w:multiLevelType w:val="hybridMultilevel"/>
    <w:tmpl w:val="58BA34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E"/>
    <w:rsid w:val="000074FD"/>
    <w:rsid w:val="00016EA0"/>
    <w:rsid w:val="00022E9C"/>
    <w:rsid w:val="00025ACF"/>
    <w:rsid w:val="00032D25"/>
    <w:rsid w:val="000A6980"/>
    <w:rsid w:val="000D5EB8"/>
    <w:rsid w:val="000D6D32"/>
    <w:rsid w:val="000E6402"/>
    <w:rsid w:val="000F4420"/>
    <w:rsid w:val="00123CB6"/>
    <w:rsid w:val="00125A25"/>
    <w:rsid w:val="00135DE0"/>
    <w:rsid w:val="00155611"/>
    <w:rsid w:val="0016206E"/>
    <w:rsid w:val="00165CAE"/>
    <w:rsid w:val="00183158"/>
    <w:rsid w:val="001A62F1"/>
    <w:rsid w:val="001B6136"/>
    <w:rsid w:val="001C5CE4"/>
    <w:rsid w:val="001C6099"/>
    <w:rsid w:val="001D760D"/>
    <w:rsid w:val="001D7A85"/>
    <w:rsid w:val="00242BE3"/>
    <w:rsid w:val="00270BFE"/>
    <w:rsid w:val="00277F80"/>
    <w:rsid w:val="002955DE"/>
    <w:rsid w:val="002F2475"/>
    <w:rsid w:val="002F500F"/>
    <w:rsid w:val="0030748E"/>
    <w:rsid w:val="00313460"/>
    <w:rsid w:val="00330D03"/>
    <w:rsid w:val="00337F32"/>
    <w:rsid w:val="003529CD"/>
    <w:rsid w:val="00355A97"/>
    <w:rsid w:val="003B59ED"/>
    <w:rsid w:val="003D1148"/>
    <w:rsid w:val="003D3ABC"/>
    <w:rsid w:val="0044740A"/>
    <w:rsid w:val="004516D4"/>
    <w:rsid w:val="00456794"/>
    <w:rsid w:val="00461D34"/>
    <w:rsid w:val="00471AB1"/>
    <w:rsid w:val="00487A9D"/>
    <w:rsid w:val="004A3EA9"/>
    <w:rsid w:val="004A48E6"/>
    <w:rsid w:val="004F08C5"/>
    <w:rsid w:val="004F0DDC"/>
    <w:rsid w:val="004F3C92"/>
    <w:rsid w:val="00532B7F"/>
    <w:rsid w:val="00543151"/>
    <w:rsid w:val="005445A0"/>
    <w:rsid w:val="0055370D"/>
    <w:rsid w:val="00556AEA"/>
    <w:rsid w:val="00560F1A"/>
    <w:rsid w:val="0056503F"/>
    <w:rsid w:val="00583581"/>
    <w:rsid w:val="0059117E"/>
    <w:rsid w:val="005A48BB"/>
    <w:rsid w:val="005A48C0"/>
    <w:rsid w:val="005F4994"/>
    <w:rsid w:val="00601978"/>
    <w:rsid w:val="0062216C"/>
    <w:rsid w:val="00647014"/>
    <w:rsid w:val="006B475E"/>
    <w:rsid w:val="006B6C1F"/>
    <w:rsid w:val="006C3B42"/>
    <w:rsid w:val="006F2673"/>
    <w:rsid w:val="00733266"/>
    <w:rsid w:val="007632B5"/>
    <w:rsid w:val="00775050"/>
    <w:rsid w:val="00784B8B"/>
    <w:rsid w:val="007A65F5"/>
    <w:rsid w:val="007D70BB"/>
    <w:rsid w:val="007E0C31"/>
    <w:rsid w:val="00863C40"/>
    <w:rsid w:val="0088263E"/>
    <w:rsid w:val="008869A5"/>
    <w:rsid w:val="008A0E2B"/>
    <w:rsid w:val="008A113A"/>
    <w:rsid w:val="008C3FD2"/>
    <w:rsid w:val="008D2D76"/>
    <w:rsid w:val="008E0EBF"/>
    <w:rsid w:val="008F3E21"/>
    <w:rsid w:val="009029A4"/>
    <w:rsid w:val="009252C6"/>
    <w:rsid w:val="00927C81"/>
    <w:rsid w:val="0096506B"/>
    <w:rsid w:val="00966FD2"/>
    <w:rsid w:val="009831E9"/>
    <w:rsid w:val="009B1CEF"/>
    <w:rsid w:val="009B51E8"/>
    <w:rsid w:val="009E1136"/>
    <w:rsid w:val="00A022A5"/>
    <w:rsid w:val="00A15017"/>
    <w:rsid w:val="00A22BAB"/>
    <w:rsid w:val="00A4200B"/>
    <w:rsid w:val="00A67AF9"/>
    <w:rsid w:val="00B5188B"/>
    <w:rsid w:val="00B77C02"/>
    <w:rsid w:val="00B82CC7"/>
    <w:rsid w:val="00BA793F"/>
    <w:rsid w:val="00BB36B6"/>
    <w:rsid w:val="00BD593A"/>
    <w:rsid w:val="00BE2DDA"/>
    <w:rsid w:val="00C0644E"/>
    <w:rsid w:val="00C10E01"/>
    <w:rsid w:val="00C73FB6"/>
    <w:rsid w:val="00C9462B"/>
    <w:rsid w:val="00CD3805"/>
    <w:rsid w:val="00CF55F3"/>
    <w:rsid w:val="00D00EAC"/>
    <w:rsid w:val="00D553AB"/>
    <w:rsid w:val="00DA31E1"/>
    <w:rsid w:val="00DF28C5"/>
    <w:rsid w:val="00E22D14"/>
    <w:rsid w:val="00E464DD"/>
    <w:rsid w:val="00E636A9"/>
    <w:rsid w:val="00E661D9"/>
    <w:rsid w:val="00E6701D"/>
    <w:rsid w:val="00EA64B3"/>
    <w:rsid w:val="00EF0A9A"/>
    <w:rsid w:val="00F009AC"/>
    <w:rsid w:val="00F01C5F"/>
    <w:rsid w:val="00F135C3"/>
    <w:rsid w:val="00F545DD"/>
    <w:rsid w:val="00F95CF3"/>
    <w:rsid w:val="00FA0709"/>
    <w:rsid w:val="00FB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19D35-3DB8-4AE6-90E7-F037E230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
    <w:name w:val="Char Char Char1"/>
    <w:basedOn w:val="Normal"/>
    <w:rsid w:val="006B475E"/>
    <w:pPr>
      <w:spacing w:after="160" w:line="240" w:lineRule="exact"/>
    </w:pPr>
    <w:rPr>
      <w:rFonts w:ascii="Tahoma" w:hAnsi="Tahoma"/>
      <w:snapToGrid w:val="0"/>
      <w:sz w:val="20"/>
      <w:szCs w:val="20"/>
      <w:lang w:val="en-US" w:eastAsia="en-GB"/>
    </w:rPr>
  </w:style>
  <w:style w:type="table" w:styleId="TableGrid">
    <w:name w:val="Table Grid"/>
    <w:basedOn w:val="TableNormal"/>
    <w:uiPriority w:val="39"/>
    <w:rsid w:val="006B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0F1A"/>
    <w:pPr>
      <w:tabs>
        <w:tab w:val="center" w:pos="4680"/>
        <w:tab w:val="right" w:pos="9360"/>
      </w:tabs>
    </w:pPr>
  </w:style>
  <w:style w:type="character" w:customStyle="1" w:styleId="HeaderChar">
    <w:name w:val="Header Char"/>
    <w:basedOn w:val="DefaultParagraphFont"/>
    <w:link w:val="Header"/>
    <w:uiPriority w:val="99"/>
    <w:rsid w:val="00560F1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60F1A"/>
    <w:pPr>
      <w:tabs>
        <w:tab w:val="center" w:pos="4680"/>
        <w:tab w:val="right" w:pos="9360"/>
      </w:tabs>
    </w:pPr>
  </w:style>
  <w:style w:type="character" w:customStyle="1" w:styleId="FooterChar">
    <w:name w:val="Footer Char"/>
    <w:basedOn w:val="DefaultParagraphFont"/>
    <w:link w:val="Footer"/>
    <w:uiPriority w:val="99"/>
    <w:rsid w:val="00560F1A"/>
    <w:rPr>
      <w:rFonts w:ascii="Times New Roman" w:eastAsia="Times New Roman" w:hAnsi="Times New Roman" w:cs="Times New Roman"/>
      <w:sz w:val="24"/>
      <w:szCs w:val="24"/>
      <w:lang w:val="en-GB"/>
    </w:rPr>
  </w:style>
  <w:style w:type="character" w:customStyle="1" w:styleId="2">
    <w:name w:val="Основен текст (2)_"/>
    <w:basedOn w:val="DefaultParagraphFont"/>
    <w:link w:val="20"/>
    <w:rsid w:val="00123CB6"/>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123CB6"/>
    <w:pPr>
      <w:widowControl w:val="0"/>
      <w:shd w:val="clear" w:color="auto" w:fill="FFFFFF"/>
      <w:spacing w:before="600" w:after="600" w:line="0" w:lineRule="atLeast"/>
      <w:ind w:hanging="1440"/>
    </w:pPr>
    <w:rPr>
      <w:sz w:val="22"/>
      <w:szCs w:val="22"/>
      <w:lang w:val="en-US"/>
    </w:rPr>
  </w:style>
  <w:style w:type="paragraph" w:styleId="ListParagraph">
    <w:name w:val="List Paragraph"/>
    <w:basedOn w:val="Normal"/>
    <w:uiPriority w:val="34"/>
    <w:qFormat/>
    <w:rsid w:val="000A6980"/>
    <w:pPr>
      <w:ind w:left="720"/>
      <w:contextualSpacing/>
    </w:pPr>
  </w:style>
  <w:style w:type="character" w:styleId="CommentReference">
    <w:name w:val="annotation reference"/>
    <w:basedOn w:val="DefaultParagraphFont"/>
    <w:uiPriority w:val="99"/>
    <w:semiHidden/>
    <w:unhideWhenUsed/>
    <w:rsid w:val="000D6D32"/>
    <w:rPr>
      <w:sz w:val="16"/>
      <w:szCs w:val="16"/>
    </w:rPr>
  </w:style>
  <w:style w:type="paragraph" w:styleId="CommentText">
    <w:name w:val="annotation text"/>
    <w:basedOn w:val="Normal"/>
    <w:link w:val="CommentTextChar"/>
    <w:uiPriority w:val="99"/>
    <w:semiHidden/>
    <w:unhideWhenUsed/>
    <w:rsid w:val="000D6D32"/>
    <w:rPr>
      <w:sz w:val="20"/>
      <w:szCs w:val="20"/>
    </w:rPr>
  </w:style>
  <w:style w:type="character" w:customStyle="1" w:styleId="CommentTextChar">
    <w:name w:val="Comment Text Char"/>
    <w:basedOn w:val="DefaultParagraphFont"/>
    <w:link w:val="CommentText"/>
    <w:uiPriority w:val="99"/>
    <w:semiHidden/>
    <w:rsid w:val="000D6D3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6D32"/>
    <w:rPr>
      <w:b/>
      <w:bCs/>
    </w:rPr>
  </w:style>
  <w:style w:type="character" w:customStyle="1" w:styleId="CommentSubjectChar">
    <w:name w:val="Comment Subject Char"/>
    <w:basedOn w:val="CommentTextChar"/>
    <w:link w:val="CommentSubject"/>
    <w:uiPriority w:val="99"/>
    <w:semiHidden/>
    <w:rsid w:val="000D6D3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D6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D32"/>
    <w:rPr>
      <w:rFonts w:ascii="Segoe UI" w:eastAsia="Times New Roman" w:hAnsi="Segoe UI" w:cs="Segoe UI"/>
      <w:sz w:val="18"/>
      <w:szCs w:val="18"/>
      <w:lang w:val="en-GB"/>
    </w:rPr>
  </w:style>
  <w:style w:type="paragraph" w:styleId="Revision">
    <w:name w:val="Revision"/>
    <w:hidden/>
    <w:uiPriority w:val="99"/>
    <w:semiHidden/>
    <w:rsid w:val="00CD3805"/>
    <w:pPr>
      <w:spacing w:after="0" w:line="240" w:lineRule="auto"/>
    </w:pPr>
    <w:rPr>
      <w:rFonts w:ascii="Times New Roman" w:eastAsia="Times New Roman" w:hAnsi="Times New Roman" w:cs="Times New Roman"/>
      <w:sz w:val="24"/>
      <w:szCs w:val="24"/>
      <w:lang w:val="en-GB"/>
    </w:rPr>
  </w:style>
  <w:style w:type="paragraph" w:customStyle="1" w:styleId="Style13">
    <w:name w:val="Style13"/>
    <w:basedOn w:val="Normal"/>
    <w:uiPriority w:val="99"/>
    <w:rsid w:val="00DA31E1"/>
    <w:pPr>
      <w:widowControl w:val="0"/>
      <w:autoSpaceDE w:val="0"/>
      <w:autoSpaceDN w:val="0"/>
      <w:adjustRightInd w:val="0"/>
      <w:spacing w:line="276" w:lineRule="exact"/>
      <w:ind w:firstLine="754"/>
      <w:jc w:val="both"/>
    </w:pPr>
    <w:rPr>
      <w:rFonts w:ascii="Calibri" w:hAnsi="Calibri"/>
      <w:lang w:val="en-US" w:eastAsia="bg-BG"/>
    </w:rPr>
  </w:style>
  <w:style w:type="character" w:customStyle="1" w:styleId="FontStyle64">
    <w:name w:val="Font Style64"/>
    <w:basedOn w:val="DefaultParagraphFont"/>
    <w:uiPriority w:val="99"/>
    <w:rsid w:val="00DA31E1"/>
    <w:rPr>
      <w:rFonts w:ascii="Times New Roman" w:hAnsi="Times New Roman" w:cs="Times New Roman"/>
      <w:b/>
      <w:bCs/>
      <w:i/>
      <w:iCs/>
      <w:sz w:val="24"/>
      <w:szCs w:val="24"/>
    </w:rPr>
  </w:style>
  <w:style w:type="character" w:customStyle="1" w:styleId="FontStyle79">
    <w:name w:val="Font Style79"/>
    <w:basedOn w:val="DefaultParagraphFont"/>
    <w:uiPriority w:val="99"/>
    <w:rsid w:val="00DA31E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16E4-137B-4810-840E-83248770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Todorova Mitovska</dc:creator>
  <cp:lastModifiedBy>Maria Todorova Mitovska</cp:lastModifiedBy>
  <cp:revision>12</cp:revision>
  <cp:lastPrinted>2022-11-14T07:55:00Z</cp:lastPrinted>
  <dcterms:created xsi:type="dcterms:W3CDTF">2022-11-18T10:28:00Z</dcterms:created>
  <dcterms:modified xsi:type="dcterms:W3CDTF">2022-11-18T14:48:00Z</dcterms:modified>
</cp:coreProperties>
</file>