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A14" w:rsidRDefault="00A15A14" w:rsidP="00A15A14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</w:pPr>
      <w:r w:rsidRPr="00653B89">
        <w:rPr>
          <w:rFonts w:ascii="Times New Roman" w:hAnsi="Times New Roman" w:cs="Times New Roman"/>
          <w:b/>
          <w:sz w:val="28"/>
          <w:szCs w:val="28"/>
          <w:u w:val="single"/>
          <w:lang w:val="bg-BG"/>
        </w:rPr>
        <w:t>К О М И С И Я З А  Р Е Г У Л И Р А Н Е  Н А  С Ъ О Б Щ Е Н И Я Т А</w:t>
      </w:r>
    </w:p>
    <w:p w:rsidR="00A15A14" w:rsidRDefault="00A15A14" w:rsidP="00A15A14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15A14" w:rsidRPr="00A15A14" w:rsidRDefault="00A15A14" w:rsidP="00A15A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РЕШЕНИЕ № </w:t>
      </w:r>
      <w:r w:rsidR="008D5B19">
        <w:rPr>
          <w:rFonts w:ascii="Times New Roman" w:hAnsi="Times New Roman" w:cs="Times New Roman"/>
          <w:b/>
          <w:sz w:val="24"/>
          <w:szCs w:val="24"/>
          <w:lang w:val="bg-BG"/>
        </w:rPr>
        <w:t>386</w:t>
      </w:r>
    </w:p>
    <w:p w:rsidR="00A15A14" w:rsidRDefault="00A15A14" w:rsidP="00A15A1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653B89">
        <w:rPr>
          <w:rFonts w:ascii="Times New Roman" w:hAnsi="Times New Roman" w:cs="Times New Roman"/>
          <w:sz w:val="24"/>
          <w:szCs w:val="24"/>
          <w:lang w:val="bg-BG"/>
        </w:rPr>
        <w:t xml:space="preserve">от </w:t>
      </w:r>
      <w:r w:rsidR="008D5B19">
        <w:rPr>
          <w:rFonts w:ascii="Times New Roman" w:hAnsi="Times New Roman" w:cs="Times New Roman"/>
          <w:sz w:val="24"/>
          <w:szCs w:val="24"/>
          <w:lang w:val="bg-BG"/>
        </w:rPr>
        <w:t>17 ноември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3B89">
        <w:rPr>
          <w:rFonts w:ascii="Times New Roman" w:hAnsi="Times New Roman" w:cs="Times New Roman"/>
          <w:sz w:val="24"/>
          <w:szCs w:val="24"/>
          <w:lang w:val="bg-BG"/>
        </w:rPr>
        <w:t>2022 г.</w:t>
      </w:r>
    </w:p>
    <w:p w:rsidR="00A15A14" w:rsidRDefault="00A15A14" w:rsidP="006809AD">
      <w:pPr>
        <w:rPr>
          <w:rFonts w:ascii="Times New Roman" w:hAnsi="Times New Roman" w:cs="Times New Roman"/>
          <w:sz w:val="24"/>
          <w:szCs w:val="24"/>
        </w:rPr>
      </w:pPr>
    </w:p>
    <w:p w:rsidR="006809AD" w:rsidRPr="001866AC" w:rsidRDefault="006809AD" w:rsidP="00F25577">
      <w:pPr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r w:rsidRPr="001866AC">
        <w:rPr>
          <w:rFonts w:ascii="Times New Roman" w:hAnsi="Times New Roman" w:cs="Times New Roman"/>
          <w:sz w:val="24"/>
          <w:szCs w:val="24"/>
          <w:lang w:val="bg-BG"/>
        </w:rPr>
        <w:t>На осн</w:t>
      </w:r>
      <w:r w:rsidR="00B45C4D" w:rsidRPr="001866AC">
        <w:rPr>
          <w:rFonts w:ascii="Times New Roman" w:hAnsi="Times New Roman" w:cs="Times New Roman"/>
          <w:sz w:val="24"/>
          <w:szCs w:val="24"/>
          <w:lang w:val="bg-BG"/>
        </w:rPr>
        <w:t>ование чл. 36</w:t>
      </w:r>
      <w:r w:rsidRPr="001866AC">
        <w:rPr>
          <w:rFonts w:ascii="Times New Roman" w:hAnsi="Times New Roman" w:cs="Times New Roman"/>
          <w:sz w:val="24"/>
          <w:szCs w:val="24"/>
          <w:lang w:val="bg-BG"/>
        </w:rPr>
        <w:t xml:space="preserve"> и чл. 201, ал. 1 от Закона за електронните съобщения във връзка с Решение </w:t>
      </w:r>
      <w:r w:rsidRPr="001866AC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№ </w:t>
      </w:r>
      <w:r w:rsidRPr="001866AC">
        <w:rPr>
          <w:rFonts w:ascii="Times New Roman" w:eastAsia="Times New Roman" w:hAnsi="Times New Roman" w:cs="Times New Roman"/>
          <w:sz w:val="24"/>
          <w:szCs w:val="24"/>
          <w:lang w:val="bg-BG"/>
        </w:rPr>
        <w:t>233/01.07.2021 г.</w:t>
      </w:r>
      <w:r w:rsidRPr="001866AC">
        <w:rPr>
          <w:rFonts w:ascii="Times New Roman" w:hAnsi="Times New Roman" w:cs="Times New Roman"/>
          <w:sz w:val="24"/>
          <w:szCs w:val="24"/>
          <w:lang w:val="bg-BG"/>
        </w:rPr>
        <w:t>,</w:t>
      </w:r>
    </w:p>
    <w:p w:rsidR="006809AD" w:rsidRPr="001866AC" w:rsidRDefault="006809AD" w:rsidP="006809AD">
      <w:pPr>
        <w:rPr>
          <w:lang w:val="bg-BG"/>
        </w:rPr>
      </w:pPr>
    </w:p>
    <w:p w:rsidR="006809AD" w:rsidRPr="001866AC" w:rsidRDefault="006809AD" w:rsidP="006809A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66AC">
        <w:rPr>
          <w:rFonts w:ascii="Times New Roman" w:hAnsi="Times New Roman" w:cs="Times New Roman"/>
          <w:b/>
          <w:sz w:val="24"/>
          <w:szCs w:val="24"/>
          <w:lang w:val="bg-BG"/>
        </w:rPr>
        <w:t>КОМИСИЯТА ЗА РЕГУЛИРАНЕ НА СЪОБЩЕНИЯТА</w:t>
      </w:r>
    </w:p>
    <w:p w:rsidR="006809AD" w:rsidRPr="001866AC" w:rsidRDefault="006809AD" w:rsidP="006809A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809AD" w:rsidRPr="001866AC" w:rsidRDefault="006809AD" w:rsidP="006809AD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66AC">
        <w:rPr>
          <w:rFonts w:ascii="Times New Roman" w:hAnsi="Times New Roman" w:cs="Times New Roman"/>
          <w:b/>
          <w:sz w:val="24"/>
          <w:szCs w:val="24"/>
          <w:lang w:val="bg-BG"/>
        </w:rPr>
        <w:t>РЕШИ:</w:t>
      </w:r>
    </w:p>
    <w:p w:rsidR="006809AD" w:rsidRPr="001866AC" w:rsidRDefault="006809AD" w:rsidP="006809AD">
      <w:pPr>
        <w:rPr>
          <w:lang w:val="bg-BG"/>
        </w:rPr>
      </w:pPr>
    </w:p>
    <w:p w:rsidR="006809AD" w:rsidRPr="001866AC" w:rsidRDefault="006809AD" w:rsidP="006809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866AC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Pr="001866AC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Приема резултатите от проведеното обществено обсъждане на проект на </w:t>
      </w:r>
      <w:r w:rsidRPr="001866AC">
        <w:rPr>
          <w:rFonts w:ascii="Times New Roman" w:hAnsi="Times New Roman" w:cs="Times New Roman"/>
          <w:sz w:val="24"/>
          <w:szCs w:val="24"/>
          <w:lang w:val="bg-BG"/>
        </w:rPr>
        <w:t xml:space="preserve">Правила за изчисляване на нетните разходи за предоставяне на универсалната услуга, съгласно Приложение </w:t>
      </w:r>
      <w:r w:rsidR="00A15A14" w:rsidRPr="001866AC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№ </w:t>
      </w:r>
      <w:r w:rsidRPr="001866AC">
        <w:rPr>
          <w:rFonts w:ascii="Times New Roman" w:hAnsi="Times New Roman" w:cs="Times New Roman"/>
          <w:sz w:val="24"/>
          <w:szCs w:val="24"/>
          <w:lang w:val="bg-BG"/>
        </w:rPr>
        <w:t>1 към настоящото решение.</w:t>
      </w:r>
    </w:p>
    <w:p w:rsidR="006809AD" w:rsidRPr="001866AC" w:rsidRDefault="006809AD" w:rsidP="006809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866AC">
        <w:rPr>
          <w:rFonts w:ascii="Times New Roman" w:hAnsi="Times New Roman" w:cs="Times New Roman"/>
          <w:sz w:val="24"/>
          <w:szCs w:val="24"/>
          <w:lang w:val="bg-BG"/>
        </w:rPr>
        <w:t xml:space="preserve">2. Приема проект на Правила за изчисляване на нетните разходи за предоставяне на универсалната услуга, съгласно Приложение </w:t>
      </w:r>
      <w:r w:rsidR="00A15A14" w:rsidRPr="001866AC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№ </w:t>
      </w:r>
      <w:r w:rsidRPr="001866AC">
        <w:rPr>
          <w:rFonts w:ascii="Times New Roman" w:hAnsi="Times New Roman" w:cs="Times New Roman"/>
          <w:sz w:val="24"/>
          <w:szCs w:val="24"/>
          <w:lang w:val="bg-BG"/>
        </w:rPr>
        <w:t>2 към настоящото решение.</w:t>
      </w:r>
    </w:p>
    <w:p w:rsidR="006809AD" w:rsidRPr="001866AC" w:rsidRDefault="006809AD" w:rsidP="006809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866AC"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r w:rsidR="00CA0737" w:rsidRPr="001866AC">
        <w:rPr>
          <w:rFonts w:ascii="Times New Roman" w:hAnsi="Times New Roman" w:cs="Times New Roman"/>
          <w:sz w:val="24"/>
          <w:szCs w:val="24"/>
          <w:lang w:val="bg-BG"/>
        </w:rPr>
        <w:t>Открива процедура за</w:t>
      </w:r>
      <w:r w:rsidRPr="001866AC">
        <w:rPr>
          <w:rFonts w:ascii="Times New Roman" w:hAnsi="Times New Roman" w:cs="Times New Roman"/>
          <w:sz w:val="24"/>
          <w:szCs w:val="24"/>
          <w:lang w:val="bg-BG"/>
        </w:rPr>
        <w:t xml:space="preserve"> общест</w:t>
      </w:r>
      <w:r w:rsidR="00CA0737" w:rsidRPr="001866AC">
        <w:rPr>
          <w:rFonts w:ascii="Times New Roman" w:hAnsi="Times New Roman" w:cs="Times New Roman"/>
          <w:sz w:val="24"/>
          <w:szCs w:val="24"/>
          <w:lang w:val="bg-BG"/>
        </w:rPr>
        <w:t xml:space="preserve">вено обсъждане на проекта по т.2 </w:t>
      </w:r>
      <w:r w:rsidRPr="001866A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6809AD" w:rsidRPr="001866AC" w:rsidRDefault="006809AD" w:rsidP="006809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866AC">
        <w:rPr>
          <w:rFonts w:ascii="Times New Roman" w:hAnsi="Times New Roman" w:cs="Times New Roman"/>
          <w:sz w:val="24"/>
          <w:szCs w:val="24"/>
          <w:lang w:val="bg-BG"/>
        </w:rPr>
        <w:t>4. Съобщение за изготвения проект, мотивите за и</w:t>
      </w:r>
      <w:r w:rsidR="00CA0737" w:rsidRPr="001866AC">
        <w:rPr>
          <w:rFonts w:ascii="Times New Roman" w:hAnsi="Times New Roman" w:cs="Times New Roman"/>
          <w:sz w:val="24"/>
          <w:szCs w:val="24"/>
          <w:lang w:val="bg-BG"/>
        </w:rPr>
        <w:t>зготвянето му и проектът по т. 2</w:t>
      </w:r>
      <w:r w:rsidRPr="001866AC">
        <w:rPr>
          <w:rFonts w:ascii="Times New Roman" w:hAnsi="Times New Roman" w:cs="Times New Roman"/>
          <w:sz w:val="24"/>
          <w:szCs w:val="24"/>
          <w:lang w:val="bg-BG"/>
        </w:rPr>
        <w:t xml:space="preserve"> да се публикува на страницата на Комисията за регулиране на съобщенията в интернет и на Портала за обществени консултации.</w:t>
      </w:r>
    </w:p>
    <w:p w:rsidR="006809AD" w:rsidRPr="001866AC" w:rsidRDefault="006809AD" w:rsidP="006809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866AC">
        <w:rPr>
          <w:rFonts w:ascii="Times New Roman" w:hAnsi="Times New Roman" w:cs="Times New Roman"/>
          <w:sz w:val="24"/>
          <w:szCs w:val="24"/>
          <w:lang w:val="bg-BG"/>
        </w:rPr>
        <w:t>5. Определя 30-дневен срок, считано от датата на пу</w:t>
      </w:r>
      <w:r w:rsidR="00CA0737" w:rsidRPr="001866AC">
        <w:rPr>
          <w:rFonts w:ascii="Times New Roman" w:hAnsi="Times New Roman" w:cs="Times New Roman"/>
          <w:sz w:val="24"/>
          <w:szCs w:val="24"/>
          <w:lang w:val="bg-BG"/>
        </w:rPr>
        <w:t>бликуване на съобщението по т. 4</w:t>
      </w:r>
      <w:r w:rsidRPr="001866AC">
        <w:rPr>
          <w:rFonts w:ascii="Times New Roman" w:hAnsi="Times New Roman" w:cs="Times New Roman"/>
          <w:sz w:val="24"/>
          <w:szCs w:val="24"/>
          <w:lang w:val="bg-BG"/>
        </w:rPr>
        <w:t>, в който заинтересованите лица могат да представят писмени становища по изготвения проект.</w:t>
      </w:r>
    </w:p>
    <w:p w:rsidR="006809AD" w:rsidRPr="001866AC" w:rsidRDefault="006809AD" w:rsidP="006809A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809AD" w:rsidRPr="001866AC" w:rsidRDefault="006809AD" w:rsidP="00A15A14">
      <w:pPr>
        <w:ind w:firstLine="567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866AC">
        <w:rPr>
          <w:rFonts w:ascii="Times New Roman" w:hAnsi="Times New Roman" w:cs="Times New Roman"/>
          <w:b/>
          <w:sz w:val="24"/>
          <w:szCs w:val="24"/>
          <w:lang w:val="bg-BG"/>
        </w:rPr>
        <w:t>Мотиви:</w:t>
      </w:r>
    </w:p>
    <w:p w:rsidR="00A15A14" w:rsidRPr="001866AC" w:rsidRDefault="006809AD" w:rsidP="00A15A1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bg-BG"/>
        </w:rPr>
      </w:pPr>
      <w:r w:rsidRPr="001866AC">
        <w:rPr>
          <w:color w:val="000000"/>
          <w:lang w:val="bg-BG"/>
        </w:rPr>
        <w:t xml:space="preserve">С Решение № </w:t>
      </w:r>
      <w:r w:rsidR="00CA0737" w:rsidRPr="001866AC">
        <w:rPr>
          <w:lang w:val="bg-BG"/>
        </w:rPr>
        <w:t xml:space="preserve">233/01.07.2021 </w:t>
      </w:r>
      <w:r w:rsidRPr="001866AC">
        <w:rPr>
          <w:color w:val="000000"/>
          <w:lang w:val="bg-BG"/>
        </w:rPr>
        <w:t xml:space="preserve">г. КРС откри процедура за обществено обсъждане на проект на </w:t>
      </w:r>
      <w:r w:rsidR="00A15A14" w:rsidRPr="001866AC">
        <w:rPr>
          <w:lang w:val="bg-BG"/>
        </w:rPr>
        <w:t>Правила за изчисляване на нетните разходи за предоставяне на универсалната услуга</w:t>
      </w:r>
      <w:r w:rsidRPr="001866AC">
        <w:rPr>
          <w:color w:val="000000"/>
          <w:lang w:val="bg-BG"/>
        </w:rPr>
        <w:t>. </w:t>
      </w:r>
    </w:p>
    <w:p w:rsidR="00CA0737" w:rsidRPr="001866AC" w:rsidRDefault="00A15A14" w:rsidP="00A15A1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bg-BG"/>
        </w:rPr>
      </w:pPr>
      <w:r w:rsidRPr="001866AC">
        <w:rPr>
          <w:lang w:val="bg-BG"/>
        </w:rPr>
        <w:t xml:space="preserve">В рамките на процедурата бяха получени становища от Министерството на финансите (МФ), Българска народна банка (БНБ), Комисия за защита на конкуренцията, Комисия за защита на потребителите, </w:t>
      </w:r>
      <w:r w:rsidR="002926FF" w:rsidRPr="001866AC">
        <w:rPr>
          <w:lang w:val="bg-BG"/>
        </w:rPr>
        <w:t xml:space="preserve">„Българска телекомуникационна компания“ ЕАД (понастоящем „Виваком България“ ЕАД) </w:t>
      </w:r>
      <w:r w:rsidRPr="001866AC">
        <w:rPr>
          <w:lang w:val="bg-BG"/>
        </w:rPr>
        <w:t>и от strategy.bg</w:t>
      </w:r>
      <w:r w:rsidR="006809AD" w:rsidRPr="001866AC">
        <w:rPr>
          <w:color w:val="000000"/>
          <w:lang w:val="bg-BG"/>
        </w:rPr>
        <w:t xml:space="preserve">. </w:t>
      </w:r>
      <w:r w:rsidRPr="001866AC">
        <w:rPr>
          <w:color w:val="000000"/>
          <w:lang w:val="bg-BG"/>
        </w:rPr>
        <w:t xml:space="preserve">Получиха се и становища от </w:t>
      </w:r>
      <w:r w:rsidRPr="001866AC">
        <w:rPr>
          <w:lang w:val="bg-BG"/>
        </w:rPr>
        <w:t xml:space="preserve">членовете на Управителния съвет на Фонда за компенсиране на универсалната услуга, както следва: Министерството на труда и социалната политика, БНБ, МФ и Министерството на транспорта и съобщенията. </w:t>
      </w:r>
      <w:r w:rsidR="006809AD" w:rsidRPr="001866AC">
        <w:rPr>
          <w:color w:val="000000"/>
          <w:lang w:val="bg-BG"/>
        </w:rPr>
        <w:t>В становищата са направени и предложения по отделни текстове на проекта, които са анализирани и отразени в Приложение № 1 към настоящото решение.</w:t>
      </w:r>
    </w:p>
    <w:p w:rsidR="00F25577" w:rsidRPr="001866AC" w:rsidRDefault="006809AD" w:rsidP="00CA073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bg-BG"/>
        </w:rPr>
      </w:pPr>
      <w:r w:rsidRPr="001866AC">
        <w:rPr>
          <w:color w:val="000000"/>
          <w:lang w:val="bg-BG"/>
        </w:rPr>
        <w:lastRenderedPageBreak/>
        <w:t xml:space="preserve">С оглед факта, че </w:t>
      </w:r>
      <w:r w:rsidR="00F25577" w:rsidRPr="001866AC">
        <w:rPr>
          <w:color w:val="000000"/>
          <w:lang w:val="bg-BG"/>
        </w:rPr>
        <w:t xml:space="preserve">отразените предложения </w:t>
      </w:r>
      <w:r w:rsidR="00CA0737" w:rsidRPr="001866AC">
        <w:rPr>
          <w:color w:val="000000"/>
          <w:lang w:val="bg-BG"/>
        </w:rPr>
        <w:t xml:space="preserve">и направените изменения </w:t>
      </w:r>
      <w:r w:rsidR="002926FF" w:rsidRPr="001866AC">
        <w:rPr>
          <w:color w:val="000000"/>
          <w:lang w:val="bg-BG"/>
        </w:rPr>
        <w:t xml:space="preserve">в проекта </w:t>
      </w:r>
      <w:r w:rsidR="00F25577" w:rsidRPr="001866AC">
        <w:rPr>
          <w:color w:val="000000"/>
          <w:lang w:val="bg-BG"/>
        </w:rPr>
        <w:t xml:space="preserve">са </w:t>
      </w:r>
      <w:r w:rsidR="00CA0737" w:rsidRPr="001866AC">
        <w:rPr>
          <w:color w:val="000000"/>
          <w:lang w:val="bg-BG"/>
        </w:rPr>
        <w:t>съществени</w:t>
      </w:r>
      <w:r w:rsidR="00F25577" w:rsidRPr="001866AC">
        <w:rPr>
          <w:color w:val="000000"/>
          <w:lang w:val="bg-BG"/>
        </w:rPr>
        <w:t xml:space="preserve">, </w:t>
      </w:r>
      <w:r w:rsidRPr="001866AC">
        <w:rPr>
          <w:color w:val="000000"/>
          <w:lang w:val="bg-BG"/>
        </w:rPr>
        <w:t xml:space="preserve">КРС счита, че следва да се проведе второ обществено обсъждане на проект на </w:t>
      </w:r>
      <w:r w:rsidR="00F25577" w:rsidRPr="001866AC">
        <w:rPr>
          <w:lang w:val="bg-BG"/>
        </w:rPr>
        <w:t>Правила за изчисляване на нетните разходи за предоставяне на универсалната услуга</w:t>
      </w:r>
      <w:r w:rsidRPr="001866AC">
        <w:rPr>
          <w:color w:val="000000"/>
          <w:lang w:val="bg-BG"/>
        </w:rPr>
        <w:t>.</w:t>
      </w:r>
    </w:p>
    <w:p w:rsidR="00F25577" w:rsidRPr="001866AC" w:rsidRDefault="006809AD" w:rsidP="00F2557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bg-BG"/>
        </w:rPr>
      </w:pPr>
      <w:r w:rsidRPr="001866AC">
        <w:rPr>
          <w:color w:val="000000"/>
          <w:lang w:val="bg-BG"/>
        </w:rPr>
        <w:t>Проектът на нормативен акт не изисква допълнителни финансови средства за прилагането му от КРС.</w:t>
      </w:r>
    </w:p>
    <w:p w:rsidR="00F25577" w:rsidRPr="001866AC" w:rsidRDefault="006809AD" w:rsidP="00F2557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bg-BG"/>
        </w:rPr>
      </w:pPr>
      <w:r w:rsidRPr="001866AC">
        <w:rPr>
          <w:color w:val="000000"/>
          <w:lang w:val="bg-BG"/>
        </w:rPr>
        <w:t>Очакваните резултати от прилагането на акта са постигане на съответствие на подзаконовия акт с измененията в ЗЕС и приложимото европейско законодателство. Проектът не противоречи на правото на Европейския съюз. Той съответства на Директива (EС) 2018/1972 на Европейския парламент и на Съвета от 11 декември 2018 г. за установяване на Европейски кодекс за електронни съобщения. </w:t>
      </w:r>
    </w:p>
    <w:p w:rsidR="006809AD" w:rsidRPr="001866AC" w:rsidRDefault="006809AD" w:rsidP="00F2557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bg-BG"/>
        </w:rPr>
      </w:pPr>
      <w:r w:rsidRPr="001866AC">
        <w:rPr>
          <w:color w:val="000000"/>
          <w:lang w:val="bg-BG"/>
        </w:rPr>
        <w:t xml:space="preserve">В тази връзка, КРС приема резултатите от проведеното обществено обсъждане на проекта, открито с </w:t>
      </w:r>
      <w:r w:rsidR="00F25577" w:rsidRPr="001866AC">
        <w:rPr>
          <w:lang w:val="bg-BG"/>
        </w:rPr>
        <w:t xml:space="preserve">Решение </w:t>
      </w:r>
      <w:r w:rsidR="00F25577" w:rsidRPr="001866AC">
        <w:rPr>
          <w:color w:val="000000"/>
          <w:lang w:val="bg-BG"/>
        </w:rPr>
        <w:t xml:space="preserve">№ </w:t>
      </w:r>
      <w:r w:rsidR="00F25577" w:rsidRPr="001866AC">
        <w:rPr>
          <w:lang w:val="bg-BG"/>
        </w:rPr>
        <w:t>233/01.07.2021 г.</w:t>
      </w:r>
      <w:r w:rsidR="00CA0737" w:rsidRPr="001866AC">
        <w:rPr>
          <w:lang w:val="bg-BG"/>
        </w:rPr>
        <w:t xml:space="preserve"> на КРС,</w:t>
      </w:r>
      <w:r w:rsidRPr="001866AC">
        <w:rPr>
          <w:color w:val="000000"/>
          <w:lang w:val="bg-BG"/>
        </w:rPr>
        <w:t xml:space="preserve"> и открива нова процедура за обществено обсъждане на проект на </w:t>
      </w:r>
      <w:r w:rsidR="00F25577" w:rsidRPr="001866AC">
        <w:rPr>
          <w:lang w:val="bg-BG"/>
        </w:rPr>
        <w:t>Правила за изчисляване на нетните разходи за предоставяне на универсалната услуга</w:t>
      </w:r>
      <w:r w:rsidRPr="001866AC">
        <w:rPr>
          <w:color w:val="000000"/>
          <w:lang w:val="bg-BG"/>
        </w:rPr>
        <w:t>.</w:t>
      </w:r>
    </w:p>
    <w:p w:rsidR="00384185" w:rsidRPr="001866AC" w:rsidRDefault="00384185" w:rsidP="00F2557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25577" w:rsidRPr="001866AC" w:rsidRDefault="00F25577" w:rsidP="00F2557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25577" w:rsidRPr="001866AC" w:rsidRDefault="00F25577" w:rsidP="00F2557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25577" w:rsidRPr="001866AC" w:rsidRDefault="00F25577" w:rsidP="00F2557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3317"/>
      </w:tblGrid>
      <w:tr w:rsidR="00F25577" w:rsidRPr="001866AC" w:rsidTr="00C066DE">
        <w:tc>
          <w:tcPr>
            <w:tcW w:w="5755" w:type="dxa"/>
          </w:tcPr>
          <w:p w:rsidR="00F25577" w:rsidRPr="001866AC" w:rsidRDefault="00F25577" w:rsidP="00C066DE">
            <w:pPr>
              <w:ind w:right="32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866A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ПРЕДСЕДАТЕЛ:</w:t>
            </w:r>
          </w:p>
        </w:tc>
        <w:tc>
          <w:tcPr>
            <w:tcW w:w="3317" w:type="dxa"/>
          </w:tcPr>
          <w:p w:rsidR="00F25577" w:rsidRPr="001866AC" w:rsidRDefault="00F25577" w:rsidP="00C066DE">
            <w:pPr>
              <w:ind w:right="117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F25577" w:rsidRPr="001866AC" w:rsidTr="00C066DE">
        <w:tc>
          <w:tcPr>
            <w:tcW w:w="5755" w:type="dxa"/>
          </w:tcPr>
          <w:p w:rsidR="00F25577" w:rsidRPr="001866AC" w:rsidRDefault="00F25577" w:rsidP="00C066DE">
            <w:pPr>
              <w:ind w:right="117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317" w:type="dxa"/>
          </w:tcPr>
          <w:p w:rsidR="00F25577" w:rsidRPr="001866AC" w:rsidRDefault="00F25577" w:rsidP="00C066DE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866A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(Иван Димитров)</w:t>
            </w:r>
          </w:p>
          <w:p w:rsidR="00F25577" w:rsidRPr="001866AC" w:rsidRDefault="00F25577" w:rsidP="00C066DE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bookmarkEnd w:id="0"/>
      <w:tr w:rsidR="00F25577" w:rsidRPr="004A172C" w:rsidTr="00C066DE">
        <w:tc>
          <w:tcPr>
            <w:tcW w:w="5755" w:type="dxa"/>
          </w:tcPr>
          <w:p w:rsidR="00F25577" w:rsidRPr="004A172C" w:rsidRDefault="00F25577" w:rsidP="00C066DE">
            <w:pPr>
              <w:ind w:right="117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317" w:type="dxa"/>
          </w:tcPr>
          <w:p w:rsidR="00F25577" w:rsidRPr="004A172C" w:rsidRDefault="00F25577" w:rsidP="00C066DE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F25577" w:rsidTr="00C066DE">
        <w:tc>
          <w:tcPr>
            <w:tcW w:w="5755" w:type="dxa"/>
          </w:tcPr>
          <w:p w:rsidR="00F25577" w:rsidRDefault="00F25577" w:rsidP="00C066D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</w:t>
            </w:r>
            <w:r w:rsidRPr="004A172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ГЛАВЕН СЕКРЕТАР:</w:t>
            </w:r>
          </w:p>
        </w:tc>
        <w:tc>
          <w:tcPr>
            <w:tcW w:w="3317" w:type="dxa"/>
          </w:tcPr>
          <w:p w:rsidR="00F25577" w:rsidRDefault="00F25577" w:rsidP="00C066DE">
            <w:pPr>
              <w:ind w:right="117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F25577" w:rsidTr="00C066DE">
        <w:tc>
          <w:tcPr>
            <w:tcW w:w="5755" w:type="dxa"/>
          </w:tcPr>
          <w:p w:rsidR="00F25577" w:rsidRDefault="00F25577" w:rsidP="00C066DE">
            <w:pPr>
              <w:ind w:right="117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317" w:type="dxa"/>
          </w:tcPr>
          <w:p w:rsidR="00F25577" w:rsidRDefault="00F25577" w:rsidP="00C066DE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4A172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(Станислава Йорданова)</w:t>
            </w:r>
          </w:p>
        </w:tc>
      </w:tr>
      <w:tr w:rsidR="00F25577" w:rsidRPr="004A172C" w:rsidTr="00C066DE">
        <w:tc>
          <w:tcPr>
            <w:tcW w:w="5755" w:type="dxa"/>
            <w:tcBorders>
              <w:bottom w:val="single" w:sz="12" w:space="0" w:color="auto"/>
            </w:tcBorders>
          </w:tcPr>
          <w:p w:rsidR="00F25577" w:rsidRDefault="00F25577" w:rsidP="00C066DE">
            <w:pPr>
              <w:ind w:right="117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317" w:type="dxa"/>
            <w:tcBorders>
              <w:bottom w:val="single" w:sz="12" w:space="0" w:color="auto"/>
            </w:tcBorders>
          </w:tcPr>
          <w:p w:rsidR="00F25577" w:rsidRPr="004A172C" w:rsidRDefault="00F25577" w:rsidP="00C066DE">
            <w:pPr>
              <w:ind w:right="117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F25577" w:rsidTr="00C066DE">
        <w:tc>
          <w:tcPr>
            <w:tcW w:w="5755" w:type="dxa"/>
            <w:tcBorders>
              <w:top w:val="single" w:sz="12" w:space="0" w:color="auto"/>
            </w:tcBorders>
          </w:tcPr>
          <w:p w:rsidR="00F25577" w:rsidRDefault="00F25577" w:rsidP="00C066DE">
            <w:pPr>
              <w:ind w:right="117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317" w:type="dxa"/>
            <w:tcBorders>
              <w:top w:val="single" w:sz="12" w:space="0" w:color="auto"/>
            </w:tcBorders>
          </w:tcPr>
          <w:p w:rsidR="00F25577" w:rsidRDefault="00F25577" w:rsidP="00C066DE">
            <w:pPr>
              <w:ind w:right="117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F25577" w:rsidTr="00C066DE">
        <w:tc>
          <w:tcPr>
            <w:tcW w:w="5755" w:type="dxa"/>
          </w:tcPr>
          <w:p w:rsidR="00F25577" w:rsidRDefault="00F25577" w:rsidP="00C066DE">
            <w:pPr>
              <w:ind w:right="-58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</w:t>
            </w:r>
            <w:r w:rsidRPr="004A172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иректор на дирекция „Правна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“:</w:t>
            </w:r>
          </w:p>
        </w:tc>
        <w:tc>
          <w:tcPr>
            <w:tcW w:w="3317" w:type="dxa"/>
          </w:tcPr>
          <w:p w:rsidR="00F25577" w:rsidRDefault="00F25577" w:rsidP="00C066DE">
            <w:pPr>
              <w:ind w:right="117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F25577" w:rsidTr="00C066DE">
        <w:tc>
          <w:tcPr>
            <w:tcW w:w="5755" w:type="dxa"/>
          </w:tcPr>
          <w:p w:rsidR="00F25577" w:rsidRDefault="00F25577" w:rsidP="00C066DE">
            <w:pPr>
              <w:ind w:right="117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3317" w:type="dxa"/>
          </w:tcPr>
          <w:p w:rsidR="00F25577" w:rsidRDefault="00F25577" w:rsidP="00C066DE">
            <w:pPr>
              <w:ind w:right="117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4A172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Мария Бончева</w:t>
            </w:r>
            <w:r w:rsidRPr="004A172C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)</w:t>
            </w:r>
          </w:p>
        </w:tc>
      </w:tr>
    </w:tbl>
    <w:p w:rsidR="00F25577" w:rsidRDefault="00F25577" w:rsidP="00F255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5577" w:rsidRPr="00A15A14" w:rsidRDefault="00F25577" w:rsidP="00F2557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25577" w:rsidRPr="00A15A1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655" w:rsidRDefault="00342655" w:rsidP="00A15A14">
      <w:pPr>
        <w:spacing w:after="0" w:line="240" w:lineRule="auto"/>
      </w:pPr>
      <w:r>
        <w:separator/>
      </w:r>
    </w:p>
  </w:endnote>
  <w:endnote w:type="continuationSeparator" w:id="0">
    <w:p w:rsidR="00342655" w:rsidRDefault="00342655" w:rsidP="00A1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655" w:rsidRDefault="00342655" w:rsidP="00A15A14">
      <w:pPr>
        <w:spacing w:after="0" w:line="240" w:lineRule="auto"/>
      </w:pPr>
      <w:r>
        <w:separator/>
      </w:r>
    </w:p>
  </w:footnote>
  <w:footnote w:type="continuationSeparator" w:id="0">
    <w:p w:rsidR="00342655" w:rsidRDefault="00342655" w:rsidP="00A15A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D52"/>
    <w:rsid w:val="001866AC"/>
    <w:rsid w:val="002926FF"/>
    <w:rsid w:val="002C5919"/>
    <w:rsid w:val="00342655"/>
    <w:rsid w:val="00344760"/>
    <w:rsid w:val="00384185"/>
    <w:rsid w:val="005C035C"/>
    <w:rsid w:val="006809AD"/>
    <w:rsid w:val="0070314C"/>
    <w:rsid w:val="00843D52"/>
    <w:rsid w:val="008D5B19"/>
    <w:rsid w:val="00A15A14"/>
    <w:rsid w:val="00B45C4D"/>
    <w:rsid w:val="00CA0737"/>
    <w:rsid w:val="00F25577"/>
    <w:rsid w:val="00F6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32282-18DA-4136-A77D-1C3C9B1B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0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5A14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5A14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15A14"/>
    <w:rPr>
      <w:vertAlign w:val="superscript"/>
    </w:rPr>
  </w:style>
  <w:style w:type="table" w:styleId="TableGrid">
    <w:name w:val="Table Grid"/>
    <w:basedOn w:val="TableNormal"/>
    <w:uiPriority w:val="39"/>
    <w:rsid w:val="00F25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5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6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Bojidarova Aleksandrova</dc:creator>
  <cp:keywords/>
  <dc:description/>
  <cp:lastModifiedBy>Maria Todorova Mitovska</cp:lastModifiedBy>
  <cp:revision>5</cp:revision>
  <cp:lastPrinted>2022-11-14T07:31:00Z</cp:lastPrinted>
  <dcterms:created xsi:type="dcterms:W3CDTF">2022-11-18T10:33:00Z</dcterms:created>
  <dcterms:modified xsi:type="dcterms:W3CDTF">2022-11-18T10:33:00Z</dcterms:modified>
</cp:coreProperties>
</file>